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49DC" w14:textId="77777777" w:rsidR="00557A1F" w:rsidRPr="007017AE" w:rsidRDefault="00851E89" w:rsidP="003C53EE">
      <w:pPr>
        <w:pStyle w:val="Brdtekst"/>
        <w:spacing w:after="7400"/>
        <w:rPr>
          <w:lang w:val="en-GB"/>
        </w:rPr>
      </w:pPr>
      <w:r>
        <w:rPr>
          <w:noProof/>
        </w:rPr>
        <w:drawing>
          <wp:anchor distT="0" distB="0" distL="114300" distR="114300" simplePos="0" relativeHeight="251658240" behindDoc="0" locked="0" layoutInCell="1" allowOverlap="1" wp14:anchorId="59AFFF4A" wp14:editId="4FE1A076">
            <wp:simplePos x="0" y="0"/>
            <wp:positionH relativeFrom="margin">
              <wp:align>center</wp:align>
            </wp:positionH>
            <wp:positionV relativeFrom="paragraph">
              <wp:posOffset>989986</wp:posOffset>
            </wp:positionV>
            <wp:extent cx="3107410" cy="1832898"/>
            <wp:effectExtent l="0" t="0" r="0" b="0"/>
            <wp:wrapNone/>
            <wp:docPr id="1350196009" name="Bilde 3" descr="The Norwegian Offshore Director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96009" name="Bilde 3" descr="The Norwegian Offshore Directorate's logo"/>
                    <pic:cNvPicPr/>
                  </pic:nvPicPr>
                  <pic:blipFill>
                    <a:blip r:embed="rId11">
                      <a:extLst>
                        <a:ext uri="{28A0092B-C50C-407E-A947-70E740481C1C}">
                          <a14:useLocalDpi xmlns:a14="http://schemas.microsoft.com/office/drawing/2010/main" val="0"/>
                        </a:ext>
                      </a:extLst>
                    </a:blip>
                    <a:stretch>
                      <a:fillRect/>
                    </a:stretch>
                  </pic:blipFill>
                  <pic:spPr>
                    <a:xfrm>
                      <a:off x="0" y="0"/>
                      <a:ext cx="3107410" cy="1832898"/>
                    </a:xfrm>
                    <a:prstGeom prst="rect">
                      <a:avLst/>
                    </a:prstGeom>
                  </pic:spPr>
                </pic:pic>
              </a:graphicData>
            </a:graphic>
            <wp14:sizeRelH relativeFrom="margin">
              <wp14:pctWidth>0</wp14:pctWidth>
            </wp14:sizeRelH>
            <wp14:sizeRelV relativeFrom="margin">
              <wp14:pctHeight>0</wp14:pctHeight>
            </wp14:sizeRelV>
          </wp:anchor>
        </w:drawing>
      </w:r>
    </w:p>
    <w:p w14:paraId="66958165" w14:textId="77777777" w:rsidR="00EB0130" w:rsidRPr="007017AE" w:rsidRDefault="00EB0130" w:rsidP="0011349C">
      <w:pPr>
        <w:pStyle w:val="Brdtekst"/>
        <w:rPr>
          <w:lang w:val="en-GB"/>
        </w:rPr>
      </w:pPr>
    </w:p>
    <w:p w14:paraId="1091DEEE" w14:textId="60CDBA58" w:rsidR="00053EEA" w:rsidRPr="007E24C3" w:rsidRDefault="007978E2" w:rsidP="007438A9">
      <w:pPr>
        <w:pStyle w:val="Tittel"/>
        <w:pBdr>
          <w:bottom w:val="single" w:sz="12" w:space="1" w:color="A6A6A6" w:themeColor="background1" w:themeShade="A6"/>
        </w:pBdr>
        <w:jc w:val="center"/>
        <w:rPr>
          <w:lang w:val="en-US"/>
        </w:rPr>
      </w:pPr>
      <w:r w:rsidRPr="007E24C3">
        <w:rPr>
          <w:bCs/>
          <w:lang w:val="en-US"/>
        </w:rPr>
        <w:t xml:space="preserve">Guidelines </w:t>
      </w:r>
      <w:r w:rsidR="00663D41" w:rsidRPr="007E24C3">
        <w:rPr>
          <w:bCs/>
          <w:lang w:val="en-US"/>
        </w:rPr>
        <w:t xml:space="preserve">for </w:t>
      </w:r>
      <w:r w:rsidR="008B187F">
        <w:rPr>
          <w:lang w:val="en-US"/>
        </w:rPr>
        <w:t>production permit application</w:t>
      </w:r>
    </w:p>
    <w:p w14:paraId="4721FEC4" w14:textId="77777777" w:rsidR="00C414A1" w:rsidRPr="007E24C3" w:rsidRDefault="00C414A1" w:rsidP="0011349C">
      <w:pPr>
        <w:pStyle w:val="Brdtekst"/>
        <w:rPr>
          <w:lang w:val="en-US"/>
        </w:rPr>
      </w:pPr>
    </w:p>
    <w:p w14:paraId="7E3788C8" w14:textId="77777777" w:rsidR="00053EEA" w:rsidRPr="007E24C3" w:rsidRDefault="00053EEA" w:rsidP="0011349C">
      <w:pPr>
        <w:pStyle w:val="Brdtekst"/>
        <w:rPr>
          <w:lang w:val="en-US"/>
        </w:rPr>
      </w:pPr>
    </w:p>
    <w:p w14:paraId="338749DB" w14:textId="77777777" w:rsidR="0015067A" w:rsidRPr="00A73C14" w:rsidRDefault="007978E2" w:rsidP="00A73C14">
      <w:pPr>
        <w:spacing w:after="200" w:line="276" w:lineRule="auto"/>
        <w:rPr>
          <w:lang w:val="en-US"/>
        </w:rPr>
      </w:pPr>
      <w:r w:rsidRPr="007E24C3">
        <w:rPr>
          <w:lang w:val="en-US"/>
        </w:rPr>
        <w:br w:type="page"/>
      </w:r>
    </w:p>
    <w:p w14:paraId="6829314B" w14:textId="77777777" w:rsidR="0015067A" w:rsidRPr="008442B7" w:rsidRDefault="0015067A" w:rsidP="0015067A">
      <w:pPr>
        <w:pStyle w:val="Brdtekst"/>
        <w:rPr>
          <w:lang w:val="en-US"/>
        </w:rPr>
      </w:pPr>
    </w:p>
    <w:p w14:paraId="0F55092E" w14:textId="26E54AF4" w:rsidR="005923EB" w:rsidRPr="008442B7" w:rsidRDefault="005923EB" w:rsidP="0015067A">
      <w:pPr>
        <w:pStyle w:val="Brdtekst"/>
        <w:rPr>
          <w:b/>
          <w:bCs/>
          <w:lang w:val="en-US"/>
        </w:rPr>
      </w:pPr>
      <w:r w:rsidRPr="008442B7">
        <w:rPr>
          <w:b/>
          <w:bCs/>
          <w:lang w:val="en-US"/>
        </w:rPr>
        <w:t>Published:</w:t>
      </w:r>
      <w:r w:rsidR="00F92C3B">
        <w:rPr>
          <w:b/>
          <w:bCs/>
          <w:lang w:val="en-US"/>
        </w:rPr>
        <w:t xml:space="preserve"> September 2020</w:t>
      </w:r>
    </w:p>
    <w:p w14:paraId="6070A006" w14:textId="408BA17F" w:rsidR="005923EB" w:rsidRPr="008442B7" w:rsidRDefault="005923EB" w:rsidP="0015067A">
      <w:pPr>
        <w:pStyle w:val="Brdtekst"/>
        <w:rPr>
          <w:b/>
          <w:bCs/>
          <w:lang w:val="en-US"/>
        </w:rPr>
      </w:pPr>
      <w:r w:rsidRPr="008442B7">
        <w:rPr>
          <w:b/>
          <w:bCs/>
          <w:lang w:val="en-US"/>
        </w:rPr>
        <w:t>Revised:</w:t>
      </w:r>
      <w:r w:rsidR="00621DC5">
        <w:rPr>
          <w:b/>
          <w:bCs/>
          <w:lang w:val="en-US"/>
        </w:rPr>
        <w:t xml:space="preserve"> </w:t>
      </w:r>
      <w:r w:rsidR="0021149B">
        <w:rPr>
          <w:b/>
          <w:bCs/>
          <w:lang w:val="en-US"/>
        </w:rPr>
        <w:t>June</w:t>
      </w:r>
      <w:r w:rsidR="00621DC5">
        <w:rPr>
          <w:b/>
          <w:bCs/>
          <w:lang w:val="en-US"/>
        </w:rPr>
        <w:t xml:space="preserve"> 202</w:t>
      </w:r>
      <w:r w:rsidR="0021149B">
        <w:rPr>
          <w:b/>
          <w:bCs/>
          <w:lang w:val="en-US"/>
        </w:rPr>
        <w:t>5</w:t>
      </w:r>
    </w:p>
    <w:p w14:paraId="5BB7F466" w14:textId="77777777" w:rsidR="005923EB" w:rsidRPr="008442B7" w:rsidRDefault="005923EB" w:rsidP="0015067A">
      <w:pPr>
        <w:pStyle w:val="Brdtekst"/>
        <w:rPr>
          <w:b/>
          <w:bCs/>
          <w:lang w:val="en-US"/>
        </w:rPr>
      </w:pPr>
    </w:p>
    <w:p w14:paraId="3B27CE50" w14:textId="77777777" w:rsidR="005923EB" w:rsidRPr="00E7591E" w:rsidRDefault="005923EB" w:rsidP="0015067A">
      <w:pPr>
        <w:pStyle w:val="Brdtekst"/>
        <w:rPr>
          <w:b/>
          <w:lang w:val="en-GB"/>
        </w:rPr>
      </w:pPr>
      <w:r w:rsidRPr="00E7591E">
        <w:rPr>
          <w:b/>
          <w:lang w:val="en-GB"/>
        </w:rPr>
        <w:t>Contact information</w:t>
      </w:r>
    </w:p>
    <w:p w14:paraId="0122A410" w14:textId="77777777" w:rsidR="005923EB" w:rsidRPr="002A0936" w:rsidRDefault="005923EB" w:rsidP="005923EB">
      <w:pPr>
        <w:rPr>
          <w:lang w:val="en-GB"/>
        </w:rPr>
      </w:pPr>
      <w:r w:rsidRPr="002A0936">
        <w:rPr>
          <w:lang w:val="en-GB"/>
        </w:rPr>
        <w:t>E-mail: postboks@sodir.no</w:t>
      </w:r>
    </w:p>
    <w:p w14:paraId="28FCBADA" w14:textId="40685042" w:rsidR="005923EB" w:rsidRPr="007017AE" w:rsidRDefault="005923EB" w:rsidP="005923EB">
      <w:pPr>
        <w:rPr>
          <w:lang w:val="en-GB"/>
        </w:rPr>
      </w:pPr>
      <w:r w:rsidRPr="007017AE">
        <w:rPr>
          <w:lang w:val="en-GB"/>
        </w:rPr>
        <w:t>Telephone: +47 51 87 60 00</w:t>
      </w:r>
    </w:p>
    <w:p w14:paraId="02990A27" w14:textId="77777777" w:rsidR="005923EB" w:rsidRPr="008442B7" w:rsidRDefault="005923EB" w:rsidP="005923EB">
      <w:pPr>
        <w:rPr>
          <w:lang w:val="en-US"/>
        </w:rPr>
      </w:pPr>
      <w:r w:rsidRPr="008442B7">
        <w:rPr>
          <w:lang w:val="en-US"/>
        </w:rPr>
        <w:t>Address: P.O. Box 600, 4003 Stavanger</w:t>
      </w:r>
    </w:p>
    <w:p w14:paraId="442727B0" w14:textId="77777777" w:rsidR="005923EB" w:rsidRPr="005923EB" w:rsidRDefault="005923EB" w:rsidP="005923EB">
      <w:pPr>
        <w:pStyle w:val="Brdtekst"/>
        <w:rPr>
          <w:b/>
          <w:bCs/>
        </w:rPr>
      </w:pPr>
      <w:proofErr w:type="spellStart"/>
      <w:r w:rsidRPr="008F40A1">
        <w:t>Visiting</w:t>
      </w:r>
      <w:proofErr w:type="spellEnd"/>
      <w:r w:rsidRPr="008F40A1">
        <w:t xml:space="preserve"> </w:t>
      </w:r>
      <w:proofErr w:type="spellStart"/>
      <w:r w:rsidRPr="008F40A1">
        <w:t>address</w:t>
      </w:r>
      <w:proofErr w:type="spellEnd"/>
      <w:r w:rsidRPr="008F40A1">
        <w:t>: Professor Olav Hanssens vei 10, 4003 Stavanger</w:t>
      </w:r>
    </w:p>
    <w:p w14:paraId="2D2A5EE6" w14:textId="77777777" w:rsidR="005923EB" w:rsidRDefault="005923EB" w:rsidP="0015067A">
      <w:pPr>
        <w:pStyle w:val="Brdtekst"/>
      </w:pPr>
    </w:p>
    <w:p w14:paraId="4D876915" w14:textId="77777777" w:rsidR="005923EB" w:rsidRPr="008E52B7" w:rsidRDefault="005923EB" w:rsidP="0015067A">
      <w:pPr>
        <w:pStyle w:val="Brdtekst"/>
        <w:sectPr w:rsidR="005923EB" w:rsidRPr="008E52B7" w:rsidSect="00153C2D">
          <w:headerReference w:type="default" r:id="rId12"/>
          <w:headerReference w:type="first" r:id="rId13"/>
          <w:pgSz w:w="11906" w:h="16838" w:code="9"/>
          <w:pgMar w:top="1418" w:right="1418" w:bottom="1418" w:left="1418" w:header="709" w:footer="709" w:gutter="0"/>
          <w:cols w:space="708"/>
          <w:titlePg/>
          <w:docGrid w:linePitch="360"/>
        </w:sectPr>
      </w:pPr>
    </w:p>
    <w:sdt>
      <w:sdtPr>
        <w:rPr>
          <w:rFonts w:asciiTheme="minorHAnsi" w:eastAsiaTheme="minorHAnsi" w:hAnsiTheme="minorHAnsi" w:cstheme="minorBidi"/>
          <w:b w:val="0"/>
          <w:bCs w:val="0"/>
          <w:sz w:val="22"/>
          <w:szCs w:val="22"/>
          <w:lang w:eastAsia="en-US"/>
        </w:rPr>
        <w:id w:val="1353926094"/>
        <w:docPartObj>
          <w:docPartGallery w:val="Table of Contents"/>
          <w:docPartUnique/>
        </w:docPartObj>
      </w:sdtPr>
      <w:sdtEndPr/>
      <w:sdtContent>
        <w:p w14:paraId="5ED72810" w14:textId="77777777" w:rsidR="00C81B37" w:rsidRPr="00BD0770" w:rsidRDefault="0087614F">
          <w:pPr>
            <w:pStyle w:val="Overskriftforinnholdsfortegnelse"/>
            <w:rPr>
              <w:lang w:val="en-GB"/>
            </w:rPr>
          </w:pPr>
          <w:r w:rsidRPr="00BD0770">
            <w:rPr>
              <w:lang w:val="en-GB"/>
            </w:rPr>
            <w:t>List of contents</w:t>
          </w:r>
        </w:p>
        <w:p w14:paraId="20684456" w14:textId="535549A9" w:rsidR="00D32207" w:rsidRDefault="000739CF">
          <w:pPr>
            <w:pStyle w:val="INNH1"/>
            <w:tabs>
              <w:tab w:val="right" w:leader="dot" w:pos="9060"/>
            </w:tabs>
            <w:rPr>
              <w:rFonts w:eastAsiaTheme="minorEastAsia"/>
              <w:b w:val="0"/>
              <w:noProof/>
              <w:kern w:val="2"/>
              <w:sz w:val="24"/>
              <w:szCs w:val="24"/>
              <w:lang w:eastAsia="nb-NO"/>
              <w14:ligatures w14:val="standardContextual"/>
            </w:rPr>
          </w:pPr>
          <w:r>
            <w:fldChar w:fldCharType="begin"/>
          </w:r>
          <w:r>
            <w:instrText xml:space="preserve"> TOC \o "1-3" \h \z \u </w:instrText>
          </w:r>
          <w:r>
            <w:fldChar w:fldCharType="separate"/>
          </w:r>
          <w:hyperlink w:anchor="_Toc200454816" w:history="1">
            <w:r w:rsidR="00D32207" w:rsidRPr="00057156">
              <w:rPr>
                <w:rStyle w:val="Hyperkobling"/>
                <w:noProof/>
                <w:lang w:val="en-GB"/>
              </w:rPr>
              <w:t>1</w:t>
            </w:r>
            <w:r w:rsidR="00D32207">
              <w:rPr>
                <w:rFonts w:eastAsiaTheme="minorEastAsia"/>
                <w:b w:val="0"/>
                <w:noProof/>
                <w:kern w:val="2"/>
                <w:sz w:val="24"/>
                <w:szCs w:val="24"/>
                <w:lang w:eastAsia="nb-NO"/>
                <w14:ligatures w14:val="standardContextual"/>
              </w:rPr>
              <w:tab/>
            </w:r>
            <w:r w:rsidR="00D32207" w:rsidRPr="00057156">
              <w:rPr>
                <w:rStyle w:val="Hyperkobling"/>
                <w:noProof/>
                <w:lang w:val="en-GB"/>
              </w:rPr>
              <w:t>Introduction</w:t>
            </w:r>
            <w:r w:rsidR="00D32207">
              <w:rPr>
                <w:noProof/>
                <w:webHidden/>
              </w:rPr>
              <w:tab/>
            </w:r>
            <w:r w:rsidR="00D32207">
              <w:rPr>
                <w:noProof/>
                <w:webHidden/>
              </w:rPr>
              <w:fldChar w:fldCharType="begin"/>
            </w:r>
            <w:r w:rsidR="00D32207">
              <w:rPr>
                <w:noProof/>
                <w:webHidden/>
              </w:rPr>
              <w:instrText xml:space="preserve"> PAGEREF _Toc200454816 \h </w:instrText>
            </w:r>
            <w:r w:rsidR="00D32207">
              <w:rPr>
                <w:noProof/>
                <w:webHidden/>
              </w:rPr>
            </w:r>
            <w:r w:rsidR="00D32207">
              <w:rPr>
                <w:noProof/>
                <w:webHidden/>
              </w:rPr>
              <w:fldChar w:fldCharType="separate"/>
            </w:r>
            <w:r w:rsidR="00D32207">
              <w:rPr>
                <w:noProof/>
                <w:webHidden/>
              </w:rPr>
              <w:t>1</w:t>
            </w:r>
            <w:r w:rsidR="00D32207">
              <w:rPr>
                <w:noProof/>
                <w:webHidden/>
              </w:rPr>
              <w:fldChar w:fldCharType="end"/>
            </w:r>
          </w:hyperlink>
        </w:p>
        <w:p w14:paraId="5B125FD9" w14:textId="35E802EB"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17" w:history="1">
            <w:r w:rsidRPr="00057156">
              <w:rPr>
                <w:rStyle w:val="Hyperkobling"/>
                <w:noProof/>
                <w:lang w:val="en-GB"/>
              </w:rPr>
              <w:t>2</w:t>
            </w:r>
            <w:r>
              <w:rPr>
                <w:rFonts w:eastAsiaTheme="minorEastAsia"/>
                <w:b w:val="0"/>
                <w:noProof/>
                <w:kern w:val="2"/>
                <w:sz w:val="24"/>
                <w:szCs w:val="24"/>
                <w:lang w:eastAsia="nb-NO"/>
                <w14:ligatures w14:val="standardContextual"/>
              </w:rPr>
              <w:tab/>
            </w:r>
            <w:r w:rsidRPr="00057156">
              <w:rPr>
                <w:rStyle w:val="Hyperkobling"/>
                <w:noProof/>
                <w:lang w:val="en-GB"/>
              </w:rPr>
              <w:t>General Factors</w:t>
            </w:r>
            <w:r>
              <w:rPr>
                <w:noProof/>
                <w:webHidden/>
              </w:rPr>
              <w:tab/>
            </w:r>
            <w:r>
              <w:rPr>
                <w:noProof/>
                <w:webHidden/>
              </w:rPr>
              <w:fldChar w:fldCharType="begin"/>
            </w:r>
            <w:r>
              <w:rPr>
                <w:noProof/>
                <w:webHidden/>
              </w:rPr>
              <w:instrText xml:space="preserve"> PAGEREF _Toc200454817 \h </w:instrText>
            </w:r>
            <w:r>
              <w:rPr>
                <w:noProof/>
                <w:webHidden/>
              </w:rPr>
            </w:r>
            <w:r>
              <w:rPr>
                <w:noProof/>
                <w:webHidden/>
              </w:rPr>
              <w:fldChar w:fldCharType="separate"/>
            </w:r>
            <w:r>
              <w:rPr>
                <w:noProof/>
                <w:webHidden/>
              </w:rPr>
              <w:t>1</w:t>
            </w:r>
            <w:r>
              <w:rPr>
                <w:noProof/>
                <w:webHidden/>
              </w:rPr>
              <w:fldChar w:fldCharType="end"/>
            </w:r>
          </w:hyperlink>
        </w:p>
        <w:p w14:paraId="6AF3E20B" w14:textId="42351822"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18" w:history="1">
            <w:r w:rsidRPr="00057156">
              <w:rPr>
                <w:rStyle w:val="Hyperkobling"/>
                <w:noProof/>
                <w:lang w:val="en-GB"/>
              </w:rPr>
              <w:t>3</w:t>
            </w:r>
            <w:r>
              <w:rPr>
                <w:rFonts w:eastAsiaTheme="minorEastAsia"/>
                <w:b w:val="0"/>
                <w:noProof/>
                <w:kern w:val="2"/>
                <w:sz w:val="24"/>
                <w:szCs w:val="24"/>
                <w:lang w:eastAsia="nb-NO"/>
                <w14:ligatures w14:val="standardContextual"/>
              </w:rPr>
              <w:tab/>
            </w:r>
            <w:r w:rsidRPr="00057156">
              <w:rPr>
                <w:rStyle w:val="Hyperkobling"/>
                <w:noProof/>
                <w:lang w:val="en-GB"/>
              </w:rPr>
              <w:t>Production Permit before Start-up</w:t>
            </w:r>
            <w:r>
              <w:rPr>
                <w:noProof/>
                <w:webHidden/>
              </w:rPr>
              <w:tab/>
            </w:r>
            <w:r>
              <w:rPr>
                <w:noProof/>
                <w:webHidden/>
              </w:rPr>
              <w:fldChar w:fldCharType="begin"/>
            </w:r>
            <w:r>
              <w:rPr>
                <w:noProof/>
                <w:webHidden/>
              </w:rPr>
              <w:instrText xml:space="preserve"> PAGEREF _Toc200454818 \h </w:instrText>
            </w:r>
            <w:r>
              <w:rPr>
                <w:noProof/>
                <w:webHidden/>
              </w:rPr>
            </w:r>
            <w:r>
              <w:rPr>
                <w:noProof/>
                <w:webHidden/>
              </w:rPr>
              <w:fldChar w:fldCharType="separate"/>
            </w:r>
            <w:r>
              <w:rPr>
                <w:noProof/>
                <w:webHidden/>
              </w:rPr>
              <w:t>2</w:t>
            </w:r>
            <w:r>
              <w:rPr>
                <w:noProof/>
                <w:webHidden/>
              </w:rPr>
              <w:fldChar w:fldCharType="end"/>
            </w:r>
          </w:hyperlink>
        </w:p>
        <w:p w14:paraId="2933B483" w14:textId="21F70FE8"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19" w:history="1">
            <w:r w:rsidRPr="00057156">
              <w:rPr>
                <w:rStyle w:val="Hyperkobling"/>
                <w:noProof/>
                <w:lang w:val="en-GB"/>
              </w:rPr>
              <w:t>3.1 Production and Injection</w:t>
            </w:r>
            <w:r>
              <w:rPr>
                <w:noProof/>
                <w:webHidden/>
              </w:rPr>
              <w:tab/>
            </w:r>
            <w:r>
              <w:rPr>
                <w:noProof/>
                <w:webHidden/>
              </w:rPr>
              <w:fldChar w:fldCharType="begin"/>
            </w:r>
            <w:r>
              <w:rPr>
                <w:noProof/>
                <w:webHidden/>
              </w:rPr>
              <w:instrText xml:space="preserve"> PAGEREF _Toc200454819 \h </w:instrText>
            </w:r>
            <w:r>
              <w:rPr>
                <w:noProof/>
                <w:webHidden/>
              </w:rPr>
            </w:r>
            <w:r>
              <w:rPr>
                <w:noProof/>
                <w:webHidden/>
              </w:rPr>
              <w:fldChar w:fldCharType="separate"/>
            </w:r>
            <w:r>
              <w:rPr>
                <w:noProof/>
                <w:webHidden/>
              </w:rPr>
              <w:t>2</w:t>
            </w:r>
            <w:r>
              <w:rPr>
                <w:noProof/>
                <w:webHidden/>
              </w:rPr>
              <w:fldChar w:fldCharType="end"/>
            </w:r>
          </w:hyperlink>
        </w:p>
        <w:p w14:paraId="3FA0CA73" w14:textId="2A4A17F9"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0" w:history="1">
            <w:r w:rsidRPr="00057156">
              <w:rPr>
                <w:rStyle w:val="Hyperkobling"/>
                <w:noProof/>
                <w:lang w:val="en-GB"/>
              </w:rPr>
              <w:t>3.2 Flaring and Cold-venting</w:t>
            </w:r>
            <w:r>
              <w:rPr>
                <w:noProof/>
                <w:webHidden/>
              </w:rPr>
              <w:tab/>
            </w:r>
            <w:r>
              <w:rPr>
                <w:noProof/>
                <w:webHidden/>
              </w:rPr>
              <w:fldChar w:fldCharType="begin"/>
            </w:r>
            <w:r>
              <w:rPr>
                <w:noProof/>
                <w:webHidden/>
              </w:rPr>
              <w:instrText xml:space="preserve"> PAGEREF _Toc200454820 \h </w:instrText>
            </w:r>
            <w:r>
              <w:rPr>
                <w:noProof/>
                <w:webHidden/>
              </w:rPr>
            </w:r>
            <w:r>
              <w:rPr>
                <w:noProof/>
                <w:webHidden/>
              </w:rPr>
              <w:fldChar w:fldCharType="separate"/>
            </w:r>
            <w:r>
              <w:rPr>
                <w:noProof/>
                <w:webHidden/>
              </w:rPr>
              <w:t>2</w:t>
            </w:r>
            <w:r>
              <w:rPr>
                <w:noProof/>
                <w:webHidden/>
              </w:rPr>
              <w:fldChar w:fldCharType="end"/>
            </w:r>
          </w:hyperlink>
        </w:p>
        <w:p w14:paraId="168374D9" w14:textId="4FE3D64F"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21" w:history="1">
            <w:r w:rsidRPr="00057156">
              <w:rPr>
                <w:rStyle w:val="Hyperkobling"/>
                <w:noProof/>
                <w:lang w:val="en-GB"/>
              </w:rPr>
              <w:t>4</w:t>
            </w:r>
            <w:r>
              <w:rPr>
                <w:rFonts w:eastAsiaTheme="minorEastAsia"/>
                <w:b w:val="0"/>
                <w:noProof/>
                <w:kern w:val="2"/>
                <w:sz w:val="24"/>
                <w:szCs w:val="24"/>
                <w:lang w:eastAsia="nb-NO"/>
                <w14:ligatures w14:val="standardContextual"/>
              </w:rPr>
              <w:tab/>
            </w:r>
            <w:r w:rsidRPr="00057156">
              <w:rPr>
                <w:rStyle w:val="Hyperkobling"/>
                <w:noProof/>
                <w:lang w:val="en-GB"/>
              </w:rPr>
              <w:t>Annual Production Permits</w:t>
            </w:r>
            <w:r>
              <w:rPr>
                <w:noProof/>
                <w:webHidden/>
              </w:rPr>
              <w:tab/>
            </w:r>
            <w:r>
              <w:rPr>
                <w:noProof/>
                <w:webHidden/>
              </w:rPr>
              <w:fldChar w:fldCharType="begin"/>
            </w:r>
            <w:r>
              <w:rPr>
                <w:noProof/>
                <w:webHidden/>
              </w:rPr>
              <w:instrText xml:space="preserve"> PAGEREF _Toc200454821 \h </w:instrText>
            </w:r>
            <w:r>
              <w:rPr>
                <w:noProof/>
                <w:webHidden/>
              </w:rPr>
            </w:r>
            <w:r>
              <w:rPr>
                <w:noProof/>
                <w:webHidden/>
              </w:rPr>
              <w:fldChar w:fldCharType="separate"/>
            </w:r>
            <w:r>
              <w:rPr>
                <w:noProof/>
                <w:webHidden/>
              </w:rPr>
              <w:t>3</w:t>
            </w:r>
            <w:r>
              <w:rPr>
                <w:noProof/>
                <w:webHidden/>
              </w:rPr>
              <w:fldChar w:fldCharType="end"/>
            </w:r>
          </w:hyperlink>
        </w:p>
        <w:p w14:paraId="4C265EDB" w14:textId="008F0623"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2" w:history="1">
            <w:r w:rsidRPr="00057156">
              <w:rPr>
                <w:rStyle w:val="Hyperkobling"/>
                <w:noProof/>
                <w:lang w:val="en-GB"/>
              </w:rPr>
              <w:t>4.1 Production and Injection</w:t>
            </w:r>
            <w:r>
              <w:rPr>
                <w:noProof/>
                <w:webHidden/>
              </w:rPr>
              <w:tab/>
            </w:r>
            <w:r>
              <w:rPr>
                <w:noProof/>
                <w:webHidden/>
              </w:rPr>
              <w:fldChar w:fldCharType="begin"/>
            </w:r>
            <w:r>
              <w:rPr>
                <w:noProof/>
                <w:webHidden/>
              </w:rPr>
              <w:instrText xml:space="preserve"> PAGEREF _Toc200454822 \h </w:instrText>
            </w:r>
            <w:r>
              <w:rPr>
                <w:noProof/>
                <w:webHidden/>
              </w:rPr>
            </w:r>
            <w:r>
              <w:rPr>
                <w:noProof/>
                <w:webHidden/>
              </w:rPr>
              <w:fldChar w:fldCharType="separate"/>
            </w:r>
            <w:r>
              <w:rPr>
                <w:noProof/>
                <w:webHidden/>
              </w:rPr>
              <w:t>3</w:t>
            </w:r>
            <w:r>
              <w:rPr>
                <w:noProof/>
                <w:webHidden/>
              </w:rPr>
              <w:fldChar w:fldCharType="end"/>
            </w:r>
          </w:hyperlink>
        </w:p>
        <w:p w14:paraId="7711CFF9" w14:textId="02AF4E35"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3" w:history="1">
            <w:r w:rsidRPr="00057156">
              <w:rPr>
                <w:rStyle w:val="Hyperkobling"/>
                <w:noProof/>
                <w:lang w:val="en-GB"/>
              </w:rPr>
              <w:t>4.2 Flaring and Cold-venting</w:t>
            </w:r>
            <w:r>
              <w:rPr>
                <w:noProof/>
                <w:webHidden/>
              </w:rPr>
              <w:tab/>
            </w:r>
            <w:r>
              <w:rPr>
                <w:noProof/>
                <w:webHidden/>
              </w:rPr>
              <w:fldChar w:fldCharType="begin"/>
            </w:r>
            <w:r>
              <w:rPr>
                <w:noProof/>
                <w:webHidden/>
              </w:rPr>
              <w:instrText xml:space="preserve"> PAGEREF _Toc200454823 \h </w:instrText>
            </w:r>
            <w:r>
              <w:rPr>
                <w:noProof/>
                <w:webHidden/>
              </w:rPr>
            </w:r>
            <w:r>
              <w:rPr>
                <w:noProof/>
                <w:webHidden/>
              </w:rPr>
              <w:fldChar w:fldCharType="separate"/>
            </w:r>
            <w:r>
              <w:rPr>
                <w:noProof/>
                <w:webHidden/>
              </w:rPr>
              <w:t>4</w:t>
            </w:r>
            <w:r>
              <w:rPr>
                <w:noProof/>
                <w:webHidden/>
              </w:rPr>
              <w:fldChar w:fldCharType="end"/>
            </w:r>
          </w:hyperlink>
        </w:p>
        <w:p w14:paraId="01646A30" w14:textId="4F196411"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24" w:history="1">
            <w:r w:rsidRPr="00057156">
              <w:rPr>
                <w:rStyle w:val="Hyperkobling"/>
                <w:noProof/>
                <w:lang w:val="en-GB"/>
              </w:rPr>
              <w:t>5   Special Production Permits for Gas</w:t>
            </w:r>
            <w:r>
              <w:rPr>
                <w:noProof/>
                <w:webHidden/>
              </w:rPr>
              <w:tab/>
            </w:r>
            <w:r>
              <w:rPr>
                <w:noProof/>
                <w:webHidden/>
              </w:rPr>
              <w:fldChar w:fldCharType="begin"/>
            </w:r>
            <w:r>
              <w:rPr>
                <w:noProof/>
                <w:webHidden/>
              </w:rPr>
              <w:instrText xml:space="preserve"> PAGEREF _Toc200454824 \h </w:instrText>
            </w:r>
            <w:r>
              <w:rPr>
                <w:noProof/>
                <w:webHidden/>
              </w:rPr>
            </w:r>
            <w:r>
              <w:rPr>
                <w:noProof/>
                <w:webHidden/>
              </w:rPr>
              <w:fldChar w:fldCharType="separate"/>
            </w:r>
            <w:r>
              <w:rPr>
                <w:noProof/>
                <w:webHidden/>
              </w:rPr>
              <w:t>5</w:t>
            </w:r>
            <w:r>
              <w:rPr>
                <w:noProof/>
                <w:webHidden/>
              </w:rPr>
              <w:fldChar w:fldCharType="end"/>
            </w:r>
          </w:hyperlink>
        </w:p>
        <w:p w14:paraId="044A681E" w14:textId="776D1D19"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5" w:history="1">
            <w:r w:rsidRPr="00057156">
              <w:rPr>
                <w:rStyle w:val="Hyperkobling"/>
                <w:noProof/>
                <w:lang w:val="en-GB"/>
              </w:rPr>
              <w:t>5.1</w:t>
            </w:r>
            <w:r>
              <w:rPr>
                <w:rFonts w:eastAsiaTheme="minorEastAsia"/>
                <w:noProof/>
                <w:kern w:val="2"/>
                <w:sz w:val="24"/>
                <w:szCs w:val="24"/>
                <w:lang w:eastAsia="nb-NO"/>
                <w14:ligatures w14:val="standardContextual"/>
              </w:rPr>
              <w:tab/>
            </w:r>
            <w:r w:rsidRPr="00057156">
              <w:rPr>
                <w:rStyle w:val="Hyperkobling"/>
                <w:noProof/>
                <w:lang w:val="en-GB"/>
              </w:rPr>
              <w:t>Application Deadline</w:t>
            </w:r>
            <w:r>
              <w:rPr>
                <w:noProof/>
                <w:webHidden/>
              </w:rPr>
              <w:tab/>
            </w:r>
            <w:r>
              <w:rPr>
                <w:noProof/>
                <w:webHidden/>
              </w:rPr>
              <w:fldChar w:fldCharType="begin"/>
            </w:r>
            <w:r>
              <w:rPr>
                <w:noProof/>
                <w:webHidden/>
              </w:rPr>
              <w:instrText xml:space="preserve"> PAGEREF _Toc200454825 \h </w:instrText>
            </w:r>
            <w:r>
              <w:rPr>
                <w:noProof/>
                <w:webHidden/>
              </w:rPr>
            </w:r>
            <w:r>
              <w:rPr>
                <w:noProof/>
                <w:webHidden/>
              </w:rPr>
              <w:fldChar w:fldCharType="separate"/>
            </w:r>
            <w:r>
              <w:rPr>
                <w:noProof/>
                <w:webHidden/>
              </w:rPr>
              <w:t>5</w:t>
            </w:r>
            <w:r>
              <w:rPr>
                <w:noProof/>
                <w:webHidden/>
              </w:rPr>
              <w:fldChar w:fldCharType="end"/>
            </w:r>
          </w:hyperlink>
        </w:p>
        <w:p w14:paraId="3588EE9D" w14:textId="50193164"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6" w:history="1">
            <w:r w:rsidRPr="00057156">
              <w:rPr>
                <w:rStyle w:val="Hyperkobling"/>
                <w:noProof/>
                <w:lang w:val="en-GB"/>
              </w:rPr>
              <w:t>5.2</w:t>
            </w:r>
            <w:r>
              <w:rPr>
                <w:rFonts w:eastAsiaTheme="minorEastAsia"/>
                <w:noProof/>
                <w:kern w:val="2"/>
                <w:sz w:val="24"/>
                <w:szCs w:val="24"/>
                <w:lang w:eastAsia="nb-NO"/>
                <w14:ligatures w14:val="standardContextual"/>
              </w:rPr>
              <w:tab/>
            </w:r>
            <w:r w:rsidRPr="00057156">
              <w:rPr>
                <w:rStyle w:val="Hyperkobling"/>
                <w:noProof/>
                <w:lang w:val="en-GB"/>
              </w:rPr>
              <w:t>Regarding the Application</w:t>
            </w:r>
            <w:r>
              <w:rPr>
                <w:noProof/>
                <w:webHidden/>
              </w:rPr>
              <w:tab/>
            </w:r>
            <w:r>
              <w:rPr>
                <w:noProof/>
                <w:webHidden/>
              </w:rPr>
              <w:fldChar w:fldCharType="begin"/>
            </w:r>
            <w:r>
              <w:rPr>
                <w:noProof/>
                <w:webHidden/>
              </w:rPr>
              <w:instrText xml:space="preserve"> PAGEREF _Toc200454826 \h </w:instrText>
            </w:r>
            <w:r>
              <w:rPr>
                <w:noProof/>
                <w:webHidden/>
              </w:rPr>
            </w:r>
            <w:r>
              <w:rPr>
                <w:noProof/>
                <w:webHidden/>
              </w:rPr>
              <w:fldChar w:fldCharType="separate"/>
            </w:r>
            <w:r>
              <w:rPr>
                <w:noProof/>
                <w:webHidden/>
              </w:rPr>
              <w:t>5</w:t>
            </w:r>
            <w:r>
              <w:rPr>
                <w:noProof/>
                <w:webHidden/>
              </w:rPr>
              <w:fldChar w:fldCharType="end"/>
            </w:r>
          </w:hyperlink>
        </w:p>
        <w:p w14:paraId="6136C659" w14:textId="605F437B"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7" w:history="1">
            <w:r w:rsidRPr="00057156">
              <w:rPr>
                <w:rStyle w:val="Hyperkobling"/>
                <w:noProof/>
                <w:lang w:val="en-GB"/>
              </w:rPr>
              <w:t>5.3</w:t>
            </w:r>
            <w:r>
              <w:rPr>
                <w:rFonts w:eastAsiaTheme="minorEastAsia"/>
                <w:noProof/>
                <w:kern w:val="2"/>
                <w:sz w:val="24"/>
                <w:szCs w:val="24"/>
                <w:lang w:eastAsia="nb-NO"/>
                <w14:ligatures w14:val="standardContextual"/>
              </w:rPr>
              <w:tab/>
            </w:r>
            <w:r w:rsidRPr="00057156">
              <w:rPr>
                <w:rStyle w:val="Hyperkobling"/>
                <w:noProof/>
                <w:lang w:val="en-GB"/>
              </w:rPr>
              <w:t>Transferring Volumes to Subsequent Gas Years (Carry forward volume)</w:t>
            </w:r>
            <w:r>
              <w:rPr>
                <w:noProof/>
                <w:webHidden/>
              </w:rPr>
              <w:tab/>
            </w:r>
            <w:r>
              <w:rPr>
                <w:noProof/>
                <w:webHidden/>
              </w:rPr>
              <w:fldChar w:fldCharType="begin"/>
            </w:r>
            <w:r>
              <w:rPr>
                <w:noProof/>
                <w:webHidden/>
              </w:rPr>
              <w:instrText xml:space="preserve"> PAGEREF _Toc200454827 \h </w:instrText>
            </w:r>
            <w:r>
              <w:rPr>
                <w:noProof/>
                <w:webHidden/>
              </w:rPr>
            </w:r>
            <w:r>
              <w:rPr>
                <w:noProof/>
                <w:webHidden/>
              </w:rPr>
              <w:fldChar w:fldCharType="separate"/>
            </w:r>
            <w:r>
              <w:rPr>
                <w:noProof/>
                <w:webHidden/>
              </w:rPr>
              <w:t>5</w:t>
            </w:r>
            <w:r>
              <w:rPr>
                <w:noProof/>
                <w:webHidden/>
              </w:rPr>
              <w:fldChar w:fldCharType="end"/>
            </w:r>
          </w:hyperlink>
        </w:p>
        <w:p w14:paraId="0D641F99" w14:textId="748F4324"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28" w:history="1">
            <w:r w:rsidRPr="00057156">
              <w:rPr>
                <w:rStyle w:val="Hyperkobling"/>
                <w:noProof/>
                <w:lang w:val="en-GB"/>
              </w:rPr>
              <w:t>6</w:t>
            </w:r>
            <w:r>
              <w:rPr>
                <w:rFonts w:eastAsiaTheme="minorEastAsia"/>
                <w:b w:val="0"/>
                <w:noProof/>
                <w:kern w:val="2"/>
                <w:sz w:val="24"/>
                <w:szCs w:val="24"/>
                <w:lang w:eastAsia="nb-NO"/>
                <w14:ligatures w14:val="standardContextual"/>
              </w:rPr>
              <w:tab/>
            </w:r>
            <w:r w:rsidRPr="00057156">
              <w:rPr>
                <w:rStyle w:val="Hyperkobling"/>
                <w:noProof/>
                <w:lang w:val="en-GB"/>
              </w:rPr>
              <w:t>Discrepancies and Changes in Existing Permits</w:t>
            </w:r>
            <w:r>
              <w:rPr>
                <w:noProof/>
                <w:webHidden/>
              </w:rPr>
              <w:tab/>
            </w:r>
            <w:r>
              <w:rPr>
                <w:noProof/>
                <w:webHidden/>
              </w:rPr>
              <w:fldChar w:fldCharType="begin"/>
            </w:r>
            <w:r>
              <w:rPr>
                <w:noProof/>
                <w:webHidden/>
              </w:rPr>
              <w:instrText xml:space="preserve"> PAGEREF _Toc200454828 \h </w:instrText>
            </w:r>
            <w:r>
              <w:rPr>
                <w:noProof/>
                <w:webHidden/>
              </w:rPr>
            </w:r>
            <w:r>
              <w:rPr>
                <w:noProof/>
                <w:webHidden/>
              </w:rPr>
              <w:fldChar w:fldCharType="separate"/>
            </w:r>
            <w:r>
              <w:rPr>
                <w:noProof/>
                <w:webHidden/>
              </w:rPr>
              <w:t>6</w:t>
            </w:r>
            <w:r>
              <w:rPr>
                <w:noProof/>
                <w:webHidden/>
              </w:rPr>
              <w:fldChar w:fldCharType="end"/>
            </w:r>
          </w:hyperlink>
        </w:p>
        <w:p w14:paraId="551CED33" w14:textId="05059C78"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29" w:history="1">
            <w:r w:rsidRPr="00057156">
              <w:rPr>
                <w:rStyle w:val="Hyperkobling"/>
                <w:noProof/>
                <w:lang w:val="en-GB"/>
              </w:rPr>
              <w:t>6.1</w:t>
            </w:r>
            <w:r>
              <w:rPr>
                <w:rFonts w:eastAsiaTheme="minorEastAsia"/>
                <w:noProof/>
                <w:kern w:val="2"/>
                <w:sz w:val="24"/>
                <w:szCs w:val="24"/>
                <w:lang w:eastAsia="nb-NO"/>
                <w14:ligatures w14:val="standardContextual"/>
              </w:rPr>
              <w:tab/>
            </w:r>
            <w:r w:rsidRPr="00057156">
              <w:rPr>
                <w:rStyle w:val="Hyperkobling"/>
                <w:noProof/>
                <w:lang w:val="en-GB"/>
              </w:rPr>
              <w:t>Production Permits per Calendar year</w:t>
            </w:r>
            <w:r>
              <w:rPr>
                <w:noProof/>
                <w:webHidden/>
              </w:rPr>
              <w:tab/>
            </w:r>
            <w:r>
              <w:rPr>
                <w:noProof/>
                <w:webHidden/>
              </w:rPr>
              <w:fldChar w:fldCharType="begin"/>
            </w:r>
            <w:r>
              <w:rPr>
                <w:noProof/>
                <w:webHidden/>
              </w:rPr>
              <w:instrText xml:space="preserve"> PAGEREF _Toc200454829 \h </w:instrText>
            </w:r>
            <w:r>
              <w:rPr>
                <w:noProof/>
                <w:webHidden/>
              </w:rPr>
            </w:r>
            <w:r>
              <w:rPr>
                <w:noProof/>
                <w:webHidden/>
              </w:rPr>
              <w:fldChar w:fldCharType="separate"/>
            </w:r>
            <w:r>
              <w:rPr>
                <w:noProof/>
                <w:webHidden/>
              </w:rPr>
              <w:t>6</w:t>
            </w:r>
            <w:r>
              <w:rPr>
                <w:noProof/>
                <w:webHidden/>
              </w:rPr>
              <w:fldChar w:fldCharType="end"/>
            </w:r>
          </w:hyperlink>
        </w:p>
        <w:p w14:paraId="51C49558" w14:textId="7AE34EB1"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30" w:history="1">
            <w:r w:rsidRPr="00057156">
              <w:rPr>
                <w:rStyle w:val="Hyperkobling"/>
                <w:noProof/>
                <w:lang w:val="en-GB"/>
              </w:rPr>
              <w:t>6.2</w:t>
            </w:r>
            <w:r>
              <w:rPr>
                <w:rFonts w:eastAsiaTheme="minorEastAsia"/>
                <w:noProof/>
                <w:kern w:val="2"/>
                <w:sz w:val="24"/>
                <w:szCs w:val="24"/>
                <w:lang w:eastAsia="nb-NO"/>
                <w14:ligatures w14:val="standardContextual"/>
              </w:rPr>
              <w:tab/>
            </w:r>
            <w:r w:rsidRPr="00057156">
              <w:rPr>
                <w:rStyle w:val="Hyperkobling"/>
                <w:noProof/>
                <w:lang w:val="en-GB"/>
              </w:rPr>
              <w:t>Special Permits for Gas</w:t>
            </w:r>
            <w:r>
              <w:rPr>
                <w:noProof/>
                <w:webHidden/>
              </w:rPr>
              <w:tab/>
            </w:r>
            <w:r>
              <w:rPr>
                <w:noProof/>
                <w:webHidden/>
              </w:rPr>
              <w:fldChar w:fldCharType="begin"/>
            </w:r>
            <w:r>
              <w:rPr>
                <w:noProof/>
                <w:webHidden/>
              </w:rPr>
              <w:instrText xml:space="preserve"> PAGEREF _Toc200454830 \h </w:instrText>
            </w:r>
            <w:r>
              <w:rPr>
                <w:noProof/>
                <w:webHidden/>
              </w:rPr>
            </w:r>
            <w:r>
              <w:rPr>
                <w:noProof/>
                <w:webHidden/>
              </w:rPr>
              <w:fldChar w:fldCharType="separate"/>
            </w:r>
            <w:r>
              <w:rPr>
                <w:noProof/>
                <w:webHidden/>
              </w:rPr>
              <w:t>6</w:t>
            </w:r>
            <w:r>
              <w:rPr>
                <w:noProof/>
                <w:webHidden/>
              </w:rPr>
              <w:fldChar w:fldCharType="end"/>
            </w:r>
          </w:hyperlink>
        </w:p>
        <w:p w14:paraId="7DA2264F" w14:textId="7CF1E961"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31" w:history="1">
            <w:r w:rsidRPr="00057156">
              <w:rPr>
                <w:rStyle w:val="Hyperkobling"/>
                <w:noProof/>
                <w:lang w:val="en-GB"/>
              </w:rPr>
              <w:t>6.3</w:t>
            </w:r>
            <w:r>
              <w:rPr>
                <w:rFonts w:eastAsiaTheme="minorEastAsia"/>
                <w:noProof/>
                <w:kern w:val="2"/>
                <w:sz w:val="24"/>
                <w:szCs w:val="24"/>
                <w:lang w:eastAsia="nb-NO"/>
                <w14:ligatures w14:val="standardContextual"/>
              </w:rPr>
              <w:tab/>
            </w:r>
            <w:r w:rsidRPr="00057156">
              <w:rPr>
                <w:rStyle w:val="Hyperkobling"/>
                <w:noProof/>
                <w:lang w:val="en-GB"/>
              </w:rPr>
              <w:t>Flaring and Cold-venting</w:t>
            </w:r>
            <w:r>
              <w:rPr>
                <w:noProof/>
                <w:webHidden/>
              </w:rPr>
              <w:tab/>
            </w:r>
            <w:r>
              <w:rPr>
                <w:noProof/>
                <w:webHidden/>
              </w:rPr>
              <w:fldChar w:fldCharType="begin"/>
            </w:r>
            <w:r>
              <w:rPr>
                <w:noProof/>
                <w:webHidden/>
              </w:rPr>
              <w:instrText xml:space="preserve"> PAGEREF _Toc200454831 \h </w:instrText>
            </w:r>
            <w:r>
              <w:rPr>
                <w:noProof/>
                <w:webHidden/>
              </w:rPr>
            </w:r>
            <w:r>
              <w:rPr>
                <w:noProof/>
                <w:webHidden/>
              </w:rPr>
              <w:fldChar w:fldCharType="separate"/>
            </w:r>
            <w:r>
              <w:rPr>
                <w:noProof/>
                <w:webHidden/>
              </w:rPr>
              <w:t>6</w:t>
            </w:r>
            <w:r>
              <w:rPr>
                <w:noProof/>
                <w:webHidden/>
              </w:rPr>
              <w:fldChar w:fldCharType="end"/>
            </w:r>
          </w:hyperlink>
        </w:p>
        <w:p w14:paraId="50A4A0A1" w14:textId="5E5B6ACC" w:rsidR="00D32207" w:rsidRDefault="00D32207">
          <w:pPr>
            <w:pStyle w:val="INNH2"/>
            <w:tabs>
              <w:tab w:val="right" w:leader="dot" w:pos="9060"/>
            </w:tabs>
            <w:rPr>
              <w:rFonts w:eastAsiaTheme="minorEastAsia"/>
              <w:noProof/>
              <w:kern w:val="2"/>
              <w:sz w:val="24"/>
              <w:szCs w:val="24"/>
              <w:lang w:eastAsia="nb-NO"/>
              <w14:ligatures w14:val="standardContextual"/>
            </w:rPr>
          </w:pPr>
          <w:hyperlink w:anchor="_Toc200454832" w:history="1">
            <w:r w:rsidRPr="00057156">
              <w:rPr>
                <w:rStyle w:val="Hyperkobling"/>
                <w:noProof/>
                <w:lang w:val="en-GB"/>
              </w:rPr>
              <w:t>6.4</w:t>
            </w:r>
            <w:r>
              <w:rPr>
                <w:rFonts w:eastAsiaTheme="minorEastAsia"/>
                <w:noProof/>
                <w:kern w:val="2"/>
                <w:sz w:val="24"/>
                <w:szCs w:val="24"/>
                <w:lang w:eastAsia="nb-NO"/>
                <w14:ligatures w14:val="standardContextual"/>
              </w:rPr>
              <w:tab/>
            </w:r>
            <w:r w:rsidRPr="00057156">
              <w:rPr>
                <w:rStyle w:val="Hyperkobling"/>
                <w:noProof/>
                <w:lang w:val="en-GB"/>
              </w:rPr>
              <w:t>Injection of Gas</w:t>
            </w:r>
            <w:r>
              <w:rPr>
                <w:noProof/>
                <w:webHidden/>
              </w:rPr>
              <w:tab/>
            </w:r>
            <w:r>
              <w:rPr>
                <w:noProof/>
                <w:webHidden/>
              </w:rPr>
              <w:fldChar w:fldCharType="begin"/>
            </w:r>
            <w:r>
              <w:rPr>
                <w:noProof/>
                <w:webHidden/>
              </w:rPr>
              <w:instrText xml:space="preserve"> PAGEREF _Toc200454832 \h </w:instrText>
            </w:r>
            <w:r>
              <w:rPr>
                <w:noProof/>
                <w:webHidden/>
              </w:rPr>
            </w:r>
            <w:r>
              <w:rPr>
                <w:noProof/>
                <w:webHidden/>
              </w:rPr>
              <w:fldChar w:fldCharType="separate"/>
            </w:r>
            <w:r>
              <w:rPr>
                <w:noProof/>
                <w:webHidden/>
              </w:rPr>
              <w:t>6</w:t>
            </w:r>
            <w:r>
              <w:rPr>
                <w:noProof/>
                <w:webHidden/>
              </w:rPr>
              <w:fldChar w:fldCharType="end"/>
            </w:r>
          </w:hyperlink>
        </w:p>
        <w:p w14:paraId="56B32B1C" w14:textId="629155A2"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33" w:history="1">
            <w:r w:rsidRPr="00057156">
              <w:rPr>
                <w:rStyle w:val="Hyperkobling"/>
                <w:noProof/>
                <w:lang w:val="en-GB"/>
              </w:rPr>
              <w:t>7</w:t>
            </w:r>
            <w:r>
              <w:rPr>
                <w:rFonts w:eastAsiaTheme="minorEastAsia"/>
                <w:b w:val="0"/>
                <w:noProof/>
                <w:kern w:val="2"/>
                <w:sz w:val="24"/>
                <w:szCs w:val="24"/>
                <w:lang w:eastAsia="nb-NO"/>
                <w14:ligatures w14:val="standardContextual"/>
              </w:rPr>
              <w:tab/>
            </w:r>
            <w:r w:rsidRPr="00057156">
              <w:rPr>
                <w:rStyle w:val="Hyperkobling"/>
                <w:noProof/>
                <w:lang w:val="en-GB"/>
              </w:rPr>
              <w:t>References to Regulations, etc.</w:t>
            </w:r>
            <w:r>
              <w:rPr>
                <w:noProof/>
                <w:webHidden/>
              </w:rPr>
              <w:tab/>
            </w:r>
            <w:r>
              <w:rPr>
                <w:noProof/>
                <w:webHidden/>
              </w:rPr>
              <w:fldChar w:fldCharType="begin"/>
            </w:r>
            <w:r>
              <w:rPr>
                <w:noProof/>
                <w:webHidden/>
              </w:rPr>
              <w:instrText xml:space="preserve"> PAGEREF _Toc200454833 \h </w:instrText>
            </w:r>
            <w:r>
              <w:rPr>
                <w:noProof/>
                <w:webHidden/>
              </w:rPr>
            </w:r>
            <w:r>
              <w:rPr>
                <w:noProof/>
                <w:webHidden/>
              </w:rPr>
              <w:fldChar w:fldCharType="separate"/>
            </w:r>
            <w:r>
              <w:rPr>
                <w:noProof/>
                <w:webHidden/>
              </w:rPr>
              <w:t>7</w:t>
            </w:r>
            <w:r>
              <w:rPr>
                <w:noProof/>
                <w:webHidden/>
              </w:rPr>
              <w:fldChar w:fldCharType="end"/>
            </w:r>
          </w:hyperlink>
        </w:p>
        <w:p w14:paraId="3289BD38" w14:textId="71DBFEBA"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34" w:history="1">
            <w:r w:rsidRPr="00057156">
              <w:rPr>
                <w:rStyle w:val="Hyperkobling"/>
                <w:noProof/>
                <w:lang w:val="en-GB"/>
              </w:rPr>
              <w:t>Appendix 1– Basis for Application for Quotas for Flaring and Cold-venting</w:t>
            </w:r>
            <w:r>
              <w:rPr>
                <w:noProof/>
                <w:webHidden/>
              </w:rPr>
              <w:tab/>
            </w:r>
            <w:r>
              <w:rPr>
                <w:noProof/>
                <w:webHidden/>
              </w:rPr>
              <w:fldChar w:fldCharType="begin"/>
            </w:r>
            <w:r>
              <w:rPr>
                <w:noProof/>
                <w:webHidden/>
              </w:rPr>
              <w:instrText xml:space="preserve"> PAGEREF _Toc200454834 \h </w:instrText>
            </w:r>
            <w:r>
              <w:rPr>
                <w:noProof/>
                <w:webHidden/>
              </w:rPr>
            </w:r>
            <w:r>
              <w:rPr>
                <w:noProof/>
                <w:webHidden/>
              </w:rPr>
              <w:fldChar w:fldCharType="separate"/>
            </w:r>
            <w:r>
              <w:rPr>
                <w:noProof/>
                <w:webHidden/>
              </w:rPr>
              <w:t>8</w:t>
            </w:r>
            <w:r>
              <w:rPr>
                <w:noProof/>
                <w:webHidden/>
              </w:rPr>
              <w:fldChar w:fldCharType="end"/>
            </w:r>
          </w:hyperlink>
        </w:p>
        <w:p w14:paraId="692CE455" w14:textId="50409A17"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35" w:history="1">
            <w:r w:rsidRPr="00057156">
              <w:rPr>
                <w:rStyle w:val="Hyperkobling"/>
                <w:noProof/>
                <w:lang w:val="en-GB"/>
              </w:rPr>
              <w:t>Appendix 2 – Increased Quota for Flaring and Cold-venting</w:t>
            </w:r>
            <w:r>
              <w:rPr>
                <w:noProof/>
                <w:webHidden/>
              </w:rPr>
              <w:tab/>
            </w:r>
            <w:r>
              <w:rPr>
                <w:noProof/>
                <w:webHidden/>
              </w:rPr>
              <w:fldChar w:fldCharType="begin"/>
            </w:r>
            <w:r>
              <w:rPr>
                <w:noProof/>
                <w:webHidden/>
              </w:rPr>
              <w:instrText xml:space="preserve"> PAGEREF _Toc200454835 \h </w:instrText>
            </w:r>
            <w:r>
              <w:rPr>
                <w:noProof/>
                <w:webHidden/>
              </w:rPr>
            </w:r>
            <w:r>
              <w:rPr>
                <w:noProof/>
                <w:webHidden/>
              </w:rPr>
              <w:fldChar w:fldCharType="separate"/>
            </w:r>
            <w:r>
              <w:rPr>
                <w:noProof/>
                <w:webHidden/>
              </w:rPr>
              <w:t>9</w:t>
            </w:r>
            <w:r>
              <w:rPr>
                <w:noProof/>
                <w:webHidden/>
              </w:rPr>
              <w:fldChar w:fldCharType="end"/>
            </w:r>
          </w:hyperlink>
        </w:p>
        <w:p w14:paraId="7A408CA8" w14:textId="56E998EA" w:rsidR="00D32207" w:rsidRDefault="00D32207">
          <w:pPr>
            <w:pStyle w:val="INNH1"/>
            <w:tabs>
              <w:tab w:val="right" w:leader="dot" w:pos="9060"/>
            </w:tabs>
            <w:rPr>
              <w:rFonts w:eastAsiaTheme="minorEastAsia"/>
              <w:b w:val="0"/>
              <w:noProof/>
              <w:kern w:val="2"/>
              <w:sz w:val="24"/>
              <w:szCs w:val="24"/>
              <w:lang w:eastAsia="nb-NO"/>
              <w14:ligatures w14:val="standardContextual"/>
            </w:rPr>
          </w:pPr>
          <w:hyperlink w:anchor="_Toc200454836" w:history="1">
            <w:r w:rsidRPr="00057156">
              <w:rPr>
                <w:rStyle w:val="Hyperkobling"/>
                <w:noProof/>
                <w:lang w:val="en-GB"/>
              </w:rPr>
              <w:t>Appendix 3 – Application Matrix</w:t>
            </w:r>
            <w:r>
              <w:rPr>
                <w:noProof/>
                <w:webHidden/>
              </w:rPr>
              <w:tab/>
            </w:r>
            <w:r>
              <w:rPr>
                <w:noProof/>
                <w:webHidden/>
              </w:rPr>
              <w:fldChar w:fldCharType="begin"/>
            </w:r>
            <w:r>
              <w:rPr>
                <w:noProof/>
                <w:webHidden/>
              </w:rPr>
              <w:instrText xml:space="preserve"> PAGEREF _Toc200454836 \h </w:instrText>
            </w:r>
            <w:r>
              <w:rPr>
                <w:noProof/>
                <w:webHidden/>
              </w:rPr>
            </w:r>
            <w:r>
              <w:rPr>
                <w:noProof/>
                <w:webHidden/>
              </w:rPr>
              <w:fldChar w:fldCharType="separate"/>
            </w:r>
            <w:r>
              <w:rPr>
                <w:noProof/>
                <w:webHidden/>
              </w:rPr>
              <w:t>10</w:t>
            </w:r>
            <w:r>
              <w:rPr>
                <w:noProof/>
                <w:webHidden/>
              </w:rPr>
              <w:fldChar w:fldCharType="end"/>
            </w:r>
          </w:hyperlink>
        </w:p>
        <w:p w14:paraId="7F28DB0E" w14:textId="19610BEF" w:rsidR="00DB6275" w:rsidRPr="008E52B7" w:rsidRDefault="000739CF" w:rsidP="008E52B7">
          <w:pPr>
            <w:sectPr w:rsidR="00DB6275" w:rsidRPr="008E52B7" w:rsidSect="00FB3821">
              <w:headerReference w:type="default"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r>
            <w:rPr>
              <w:b/>
              <w:bCs/>
              <w:noProof/>
            </w:rPr>
            <w:fldChar w:fldCharType="end"/>
          </w:r>
        </w:p>
      </w:sdtContent>
    </w:sdt>
    <w:p w14:paraId="04BB570A" w14:textId="77777777" w:rsidR="00BC02B9" w:rsidRPr="00AA3ABC" w:rsidRDefault="00BC02B9" w:rsidP="00D32207">
      <w:pPr>
        <w:pStyle w:val="Overskrift1"/>
        <w:numPr>
          <w:ilvl w:val="0"/>
          <w:numId w:val="4"/>
        </w:numPr>
        <w:spacing w:before="600" w:after="120"/>
        <w:rPr>
          <w:lang w:val="en-GB"/>
        </w:rPr>
      </w:pPr>
      <w:bookmarkStart w:id="0" w:name="_Toc505781913"/>
      <w:bookmarkStart w:id="1" w:name="_Toc505933185"/>
      <w:bookmarkStart w:id="2" w:name="_Toc505936796"/>
      <w:bookmarkStart w:id="3" w:name="_Toc506202867"/>
      <w:bookmarkStart w:id="4" w:name="_Toc463530846"/>
      <w:bookmarkStart w:id="5" w:name="_Toc463611295"/>
      <w:bookmarkStart w:id="6" w:name="_Toc466897431"/>
      <w:bookmarkStart w:id="7" w:name="_Toc468276064"/>
      <w:bookmarkStart w:id="8" w:name="_Toc500934118"/>
      <w:bookmarkStart w:id="9" w:name="_Toc501440486"/>
      <w:bookmarkStart w:id="10" w:name="_Toc502671580"/>
      <w:bookmarkStart w:id="11" w:name="_Toc502671674"/>
      <w:bookmarkStart w:id="12" w:name="_Toc502739478"/>
      <w:bookmarkStart w:id="13" w:name="_Toc502747738"/>
      <w:bookmarkStart w:id="14" w:name="_Toc502750020"/>
      <w:bookmarkStart w:id="15" w:name="_Toc502754898"/>
      <w:bookmarkStart w:id="16" w:name="_Toc502759316"/>
      <w:bookmarkStart w:id="17" w:name="_Toc502831897"/>
      <w:bookmarkStart w:id="18" w:name="_Toc502833976"/>
      <w:bookmarkStart w:id="19" w:name="_Toc502837769"/>
      <w:bookmarkStart w:id="20" w:name="_Toc502906166"/>
      <w:bookmarkStart w:id="21" w:name="_Toc502928281"/>
      <w:bookmarkStart w:id="22" w:name="_Toc503869664"/>
      <w:bookmarkStart w:id="23" w:name="_Toc503880784"/>
      <w:bookmarkStart w:id="24" w:name="_Toc503964407"/>
      <w:bookmarkStart w:id="25" w:name="_Toc503971310"/>
      <w:bookmarkStart w:id="26" w:name="_Toc504048589"/>
      <w:bookmarkStart w:id="27" w:name="_Toc504051177"/>
      <w:bookmarkStart w:id="28" w:name="_Toc504054270"/>
      <w:bookmarkStart w:id="29" w:name="_Toc504055363"/>
      <w:bookmarkStart w:id="30" w:name="_Toc138670739"/>
      <w:bookmarkStart w:id="31" w:name="_Toc200454816"/>
      <w:r w:rsidRPr="00AA3ABC">
        <w:rPr>
          <w:lang w:val="en-GB"/>
        </w:rPr>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A3ABC">
        <w:rPr>
          <w:lang w:val="en-GB"/>
        </w:rPr>
        <w:t xml:space="preserve"> </w:t>
      </w:r>
    </w:p>
    <w:p w14:paraId="413E53E6" w14:textId="022655EB" w:rsidR="00BC02B9" w:rsidRPr="00AA3ABC" w:rsidRDefault="00BC02B9" w:rsidP="00BC02B9">
      <w:pPr>
        <w:pStyle w:val="Brdtekst"/>
        <w:rPr>
          <w:rFonts w:cstheme="minorHAnsi"/>
          <w:lang w:val="en-GB"/>
        </w:rPr>
      </w:pPr>
      <w:r w:rsidRPr="00AA3ABC">
        <w:rPr>
          <w:lang w:val="en-GB"/>
        </w:rPr>
        <w:t xml:space="preserve">In accordance with </w:t>
      </w:r>
      <w:hyperlink r:id="rId17" w:anchor="Section-4-1" w:history="1">
        <w:r>
          <w:rPr>
            <w:rStyle w:val="Hyperkobling"/>
            <w:lang w:val="en-GB"/>
          </w:rPr>
          <w:t>s</w:t>
        </w:r>
        <w:r w:rsidRPr="007017AE">
          <w:rPr>
            <w:rStyle w:val="Hyperkobling"/>
            <w:lang w:val="en-GB"/>
          </w:rPr>
          <w:t>ection 4-1 of the Petroleum Act (PA)</w:t>
        </w:r>
      </w:hyperlink>
      <w:r w:rsidRPr="007017AE">
        <w:rPr>
          <w:lang w:val="en-GB"/>
        </w:rPr>
        <w:t xml:space="preserve">, </w:t>
      </w:r>
      <w:r w:rsidRPr="0073617C">
        <w:rPr>
          <w:lang w:val="en-GB"/>
        </w:rPr>
        <w:t xml:space="preserve">as much as possible of the petroleum in place in each individual petroleum deposit, or in several deposits in combination, </w:t>
      </w:r>
      <w:r w:rsidRPr="000C23F1">
        <w:rPr>
          <w:lang w:val="en-GB"/>
        </w:rPr>
        <w:t>shall be produced.</w:t>
      </w:r>
      <w:r w:rsidR="004B26D3">
        <w:rPr>
          <w:lang w:val="en-GB"/>
        </w:rPr>
        <w:t xml:space="preserve"> </w:t>
      </w:r>
      <w:r w:rsidRPr="00AA3ABC">
        <w:rPr>
          <w:rFonts w:cs="Calibri"/>
          <w:lang w:val="en-GB"/>
        </w:rPr>
        <w:t xml:space="preserve">The operator of fields and facilities shall, on behalf of the licensees, apply for production permit, as well as flaring and cold-venting permit, cf. </w:t>
      </w:r>
      <w:hyperlink r:id="rId18" w:anchor="Section-4-1" w:history="1">
        <w:r>
          <w:rPr>
            <w:rStyle w:val="Hyperkobling"/>
            <w:lang w:val="en-GB"/>
          </w:rPr>
          <w:t>s</w:t>
        </w:r>
        <w:r w:rsidRPr="007017AE">
          <w:rPr>
            <w:rStyle w:val="Hyperkobling"/>
            <w:lang w:val="en-GB"/>
          </w:rPr>
          <w:t>ection 4-4 of the PA</w:t>
        </w:r>
      </w:hyperlink>
      <w:r w:rsidRPr="007017AE">
        <w:rPr>
          <w:rFonts w:cs="Calibri"/>
          <w:lang w:val="en-GB"/>
        </w:rPr>
        <w:t xml:space="preserve"> </w:t>
      </w:r>
      <w:r w:rsidRPr="0073617C">
        <w:rPr>
          <w:rFonts w:cs="Calibri"/>
          <w:lang w:val="en-GB"/>
        </w:rPr>
        <w:t xml:space="preserve">and </w:t>
      </w:r>
      <w:hyperlink r:id="rId19" w:anchor="Section-23" w:history="1">
        <w:r w:rsidR="00DE2732">
          <w:rPr>
            <w:rStyle w:val="Hyperkobling"/>
            <w:lang w:val="en-GB"/>
          </w:rPr>
          <w:t>section 23 of the Regulations to Act relating to petroleum activities</w:t>
        </w:r>
      </w:hyperlink>
      <w:r w:rsidRPr="0073617C">
        <w:rPr>
          <w:rFonts w:cs="Calibri"/>
          <w:lang w:val="en-GB"/>
        </w:rPr>
        <w:t>. The application shall</w:t>
      </w:r>
      <w:r w:rsidRPr="000C23F1">
        <w:rPr>
          <w:rFonts w:cs="Calibri"/>
          <w:lang w:val="en-GB"/>
        </w:rPr>
        <w:t xml:space="preserve"> be submitted to the Ministry of Energy with a copy to the Norwegian </w:t>
      </w:r>
      <w:r w:rsidR="00D27A7B">
        <w:rPr>
          <w:rFonts w:cs="Calibri"/>
          <w:lang w:val="en-GB"/>
        </w:rPr>
        <w:t>Offshore</w:t>
      </w:r>
      <w:r w:rsidR="00D27A7B" w:rsidRPr="000C23F1">
        <w:rPr>
          <w:rFonts w:cs="Calibri"/>
          <w:lang w:val="en-GB"/>
        </w:rPr>
        <w:t xml:space="preserve"> </w:t>
      </w:r>
      <w:r w:rsidRPr="000C23F1">
        <w:rPr>
          <w:rFonts w:cs="Calibri"/>
          <w:lang w:val="en-GB"/>
        </w:rPr>
        <w:t xml:space="preserve">Directorate </w:t>
      </w:r>
      <w:r>
        <w:rPr>
          <w:rFonts w:cs="Calibri"/>
          <w:lang w:val="en-GB"/>
        </w:rPr>
        <w:t xml:space="preserve">within the deadlines that apply </w:t>
      </w:r>
      <w:r w:rsidRPr="000C23F1">
        <w:rPr>
          <w:rFonts w:cs="Calibri"/>
          <w:lang w:val="en-GB"/>
        </w:rPr>
        <w:t xml:space="preserve">at any given time. </w:t>
      </w:r>
      <w:bookmarkStart w:id="32" w:name="_Hlk51671900"/>
      <w:r w:rsidRPr="000C23F1">
        <w:rPr>
          <w:rFonts w:cs="Calibri"/>
          <w:lang w:val="en-GB"/>
        </w:rPr>
        <w:t>Following the application from the licensee, the M</w:t>
      </w:r>
      <w:r w:rsidR="00295788">
        <w:rPr>
          <w:rFonts w:cs="Calibri"/>
          <w:lang w:val="en-GB"/>
        </w:rPr>
        <w:t xml:space="preserve">inistry </w:t>
      </w:r>
      <w:r w:rsidRPr="000C23F1">
        <w:rPr>
          <w:rFonts w:cs="Calibri"/>
          <w:lang w:val="en-GB"/>
        </w:rPr>
        <w:t>will stipulate, in accordance with advice</w:t>
      </w:r>
      <w:r w:rsidRPr="00AA3ABC">
        <w:rPr>
          <w:rFonts w:cs="Calibri"/>
          <w:lang w:val="en-GB"/>
        </w:rPr>
        <w:t xml:space="preserve"> and recommendations from the </w:t>
      </w:r>
      <w:r w:rsidR="006664ED">
        <w:rPr>
          <w:rFonts w:cs="Calibri"/>
          <w:lang w:val="en-GB"/>
        </w:rPr>
        <w:t>D</w:t>
      </w:r>
      <w:r w:rsidR="00D04592">
        <w:rPr>
          <w:rFonts w:cs="Calibri"/>
          <w:lang w:val="en-GB"/>
        </w:rPr>
        <w:t>irectorate</w:t>
      </w:r>
      <w:r w:rsidRPr="00AA3ABC">
        <w:rPr>
          <w:rFonts w:cs="Calibri"/>
          <w:lang w:val="en-GB"/>
        </w:rPr>
        <w:t xml:space="preserve">, the volumes that can be produced </w:t>
      </w:r>
      <w:r w:rsidR="0021149B">
        <w:rPr>
          <w:rFonts w:cs="Calibri"/>
          <w:lang w:val="en-GB"/>
        </w:rPr>
        <w:t xml:space="preserve">and </w:t>
      </w:r>
      <w:r w:rsidRPr="00AA3ABC">
        <w:rPr>
          <w:rFonts w:cs="Calibri"/>
          <w:lang w:val="en-GB"/>
        </w:rPr>
        <w:t>injected at any given time, as well as the volumes that can be flared and cold-vented for specific periods.</w:t>
      </w:r>
    </w:p>
    <w:p w14:paraId="0F2563B8" w14:textId="77777777" w:rsidR="00BC02B9" w:rsidRPr="00834DA6" w:rsidRDefault="00BC02B9" w:rsidP="00BC02B9">
      <w:pPr>
        <w:pStyle w:val="Brdtekst"/>
        <w:rPr>
          <w:rFonts w:cstheme="minorHAnsi"/>
          <w:lang w:val="en-GB"/>
        </w:rPr>
      </w:pPr>
    </w:p>
    <w:p w14:paraId="67E79ADA" w14:textId="0164D40B" w:rsidR="005778F3" w:rsidRDefault="00BC02B9" w:rsidP="00BC02B9">
      <w:pPr>
        <w:pStyle w:val="Brdtekst"/>
        <w:rPr>
          <w:lang w:val="en-GB"/>
        </w:rPr>
      </w:pPr>
      <w:r w:rsidRPr="00834DA6">
        <w:rPr>
          <w:lang w:val="en-GB"/>
        </w:rPr>
        <w:t>The petroleum volumes in the application to produce/inject shall correspond to the equivalent expected values for upcoming years, as reported for the revised national budget (RNB). The volume of produced petroleum, i.e. liquids (</w:t>
      </w:r>
      <w:r w:rsidRPr="00834DA6">
        <w:rPr>
          <w:rFonts w:eastAsia="Times New Roman"/>
          <w:lang w:val="en-GB"/>
        </w:rPr>
        <w:t xml:space="preserve">oil, NGL, condensate) and gas, </w:t>
      </w:r>
      <w:r w:rsidRPr="00834DA6">
        <w:rPr>
          <w:lang w:val="en-GB"/>
        </w:rPr>
        <w:t>will be stipulated based on the values for saleable volumes of petroleum reported for the RNB. This in accordance with current practice.</w:t>
      </w:r>
      <w:r w:rsidR="00734073">
        <w:rPr>
          <w:lang w:val="en-GB"/>
        </w:rPr>
        <w:t xml:space="preserve"> Any deviations</w:t>
      </w:r>
      <w:r w:rsidR="00AD4818">
        <w:rPr>
          <w:lang w:val="en-GB"/>
        </w:rPr>
        <w:t xml:space="preserve"> from RNB must be stated </w:t>
      </w:r>
      <w:r w:rsidR="00694ECB">
        <w:rPr>
          <w:lang w:val="en-GB"/>
        </w:rPr>
        <w:t>and explained in more detail in the application.</w:t>
      </w:r>
      <w:r w:rsidR="002A0936">
        <w:rPr>
          <w:lang w:val="en-GB"/>
        </w:rPr>
        <w:t xml:space="preserve"> </w:t>
      </w:r>
      <w:bookmarkStart w:id="33" w:name="_Hlk51837123"/>
      <w:r w:rsidR="005778F3" w:rsidRPr="00A07FAF">
        <w:rPr>
          <w:lang w:val="en-GB"/>
        </w:rPr>
        <w:t xml:space="preserve">When applying for special production permits for gas, licensees must </w:t>
      </w:r>
      <w:r w:rsidR="00115D5E" w:rsidRPr="00B8008D">
        <w:rPr>
          <w:lang w:val="en-GB"/>
        </w:rPr>
        <w:t>assum</w:t>
      </w:r>
      <w:r w:rsidR="0075382B" w:rsidRPr="00B8008D">
        <w:rPr>
          <w:lang w:val="en-GB"/>
        </w:rPr>
        <w:t>e</w:t>
      </w:r>
      <w:r w:rsidR="005778F3" w:rsidRPr="00A07FAF">
        <w:rPr>
          <w:lang w:val="en-GB"/>
        </w:rPr>
        <w:t xml:space="preserve"> maximum expected values </w:t>
      </w:r>
      <w:r w:rsidR="005778F3" w:rsidRPr="00A07FAF">
        <w:rPr>
          <w:rFonts w:ascii="Arial" w:hAnsi="Arial" w:cs="Arial"/>
          <w:lang w:val="en-GB"/>
        </w:rPr>
        <w:t>​​</w:t>
      </w:r>
      <w:r w:rsidR="005778F3" w:rsidRPr="00A07FAF">
        <w:rPr>
          <w:lang w:val="en-GB"/>
        </w:rPr>
        <w:t>for the requested volume as a basis</w:t>
      </w:r>
      <w:r w:rsidR="001D51ED">
        <w:rPr>
          <w:lang w:val="en-GB"/>
        </w:rPr>
        <w:t>.</w:t>
      </w:r>
      <w:r w:rsidR="005778F3" w:rsidRPr="00A07FAF">
        <w:rPr>
          <w:lang w:val="en-GB"/>
        </w:rPr>
        <w:t xml:space="preserve"> In the application, it must be stated how much the maximum deliveries may deviate from the volumes reported to RNB</w:t>
      </w:r>
      <w:r w:rsidR="005778F3">
        <w:rPr>
          <w:lang w:val="en-GB"/>
        </w:rPr>
        <w:t>.</w:t>
      </w:r>
    </w:p>
    <w:p w14:paraId="603A4235" w14:textId="77777777" w:rsidR="009C64C1" w:rsidRDefault="009C64C1" w:rsidP="00BC02B9">
      <w:pPr>
        <w:pStyle w:val="Brdtekst"/>
        <w:rPr>
          <w:lang w:val="en-GB"/>
        </w:rPr>
      </w:pPr>
    </w:p>
    <w:p w14:paraId="50F0059C" w14:textId="136D4EDE" w:rsidR="00BC02B9" w:rsidRPr="00834DA6" w:rsidRDefault="00BC02B9" w:rsidP="00BC02B9">
      <w:pPr>
        <w:pStyle w:val="Brdtekst"/>
        <w:rPr>
          <w:lang w:val="en-GB"/>
        </w:rPr>
      </w:pPr>
      <w:r w:rsidRPr="00834DA6">
        <w:rPr>
          <w:lang w:val="en-GB"/>
        </w:rPr>
        <w:t xml:space="preserve">These guidelines distinguish between production permits for starting up new fields, fields in operation and fields with a special need for a separate permit </w:t>
      </w:r>
      <w:r>
        <w:rPr>
          <w:lang w:val="en-GB"/>
        </w:rPr>
        <w:t xml:space="preserve">for </w:t>
      </w:r>
      <w:r w:rsidRPr="00834DA6">
        <w:rPr>
          <w:lang w:val="en-GB"/>
        </w:rPr>
        <w:t>gas production</w:t>
      </w:r>
      <w:r w:rsidRPr="00834DA6" w:rsidDel="00255590">
        <w:rPr>
          <w:lang w:val="en-GB"/>
        </w:rPr>
        <w:t xml:space="preserve">. </w:t>
      </w:r>
      <w:r w:rsidRPr="00834DA6">
        <w:rPr>
          <w:lang w:val="en-GB"/>
        </w:rPr>
        <w:t xml:space="preserve">See matrix in </w:t>
      </w:r>
      <w:r w:rsidR="00005622">
        <w:rPr>
          <w:lang w:val="en-GB"/>
        </w:rPr>
        <w:t>a</w:t>
      </w:r>
      <w:r w:rsidRPr="00834DA6">
        <w:rPr>
          <w:lang w:val="en-GB"/>
        </w:rPr>
        <w:t>ppendix 3 for an overview of the different application processes.</w:t>
      </w:r>
      <w:bookmarkEnd w:id="33"/>
    </w:p>
    <w:p w14:paraId="23140A50" w14:textId="77777777" w:rsidR="00BC02B9" w:rsidRPr="00834DA6" w:rsidRDefault="00BC02B9" w:rsidP="00BC02B9">
      <w:pPr>
        <w:pStyle w:val="Brdtekst"/>
        <w:rPr>
          <w:lang w:val="en-GB"/>
        </w:rPr>
      </w:pPr>
    </w:p>
    <w:p w14:paraId="52DC7454" w14:textId="7980341B" w:rsidR="00BC02B9" w:rsidRPr="00834DA6" w:rsidRDefault="00BC02B9" w:rsidP="00BC02B9">
      <w:pPr>
        <w:pStyle w:val="Brdtekst"/>
        <w:rPr>
          <w:lang w:val="en-GB"/>
        </w:rPr>
      </w:pPr>
      <w:r w:rsidRPr="00834DA6">
        <w:rPr>
          <w:lang w:val="en-GB"/>
        </w:rPr>
        <w:t>Production permits for transboundary fields and test production are not addressed in these guidelines. Applications for such permits shall be clarified with the M</w:t>
      </w:r>
      <w:r w:rsidR="00496FC8">
        <w:rPr>
          <w:lang w:val="en-GB"/>
        </w:rPr>
        <w:t>inistry</w:t>
      </w:r>
      <w:r w:rsidRPr="00834DA6">
        <w:rPr>
          <w:lang w:val="en-GB"/>
        </w:rPr>
        <w:t xml:space="preserve"> and </w:t>
      </w:r>
      <w:r w:rsidR="00E36F02">
        <w:rPr>
          <w:lang w:val="en-GB"/>
        </w:rPr>
        <w:t xml:space="preserve">the </w:t>
      </w:r>
      <w:r w:rsidR="00BC66C3">
        <w:rPr>
          <w:lang w:val="en-GB"/>
        </w:rPr>
        <w:t>D</w:t>
      </w:r>
      <w:r w:rsidR="00A57A14">
        <w:rPr>
          <w:lang w:val="en-GB"/>
        </w:rPr>
        <w:t>irectorate</w:t>
      </w:r>
      <w:r w:rsidRPr="00834DA6">
        <w:rPr>
          <w:lang w:val="en-GB"/>
        </w:rPr>
        <w:t>.</w:t>
      </w:r>
      <w:bookmarkEnd w:id="32"/>
    </w:p>
    <w:p w14:paraId="6E67AF7A" w14:textId="0121CE26" w:rsidR="00BC02B9" w:rsidRPr="00393037" w:rsidRDefault="00BC02B9" w:rsidP="00D32207">
      <w:pPr>
        <w:pStyle w:val="Overskrift1"/>
        <w:numPr>
          <w:ilvl w:val="0"/>
          <w:numId w:val="4"/>
        </w:numPr>
        <w:spacing w:before="600" w:after="120"/>
        <w:rPr>
          <w:lang w:val="en-GB"/>
        </w:rPr>
      </w:pPr>
      <w:bookmarkStart w:id="34" w:name="_Toc51773659"/>
      <w:bookmarkStart w:id="35" w:name="_Toc51833888"/>
      <w:bookmarkStart w:id="36" w:name="_Toc138670740"/>
      <w:bookmarkStart w:id="37" w:name="_Toc200454817"/>
      <w:bookmarkEnd w:id="34"/>
      <w:bookmarkEnd w:id="35"/>
      <w:r w:rsidRPr="00393037">
        <w:rPr>
          <w:lang w:val="en-GB"/>
        </w:rPr>
        <w:t xml:space="preserve">General </w:t>
      </w:r>
      <w:r w:rsidR="00126E94">
        <w:rPr>
          <w:lang w:val="en-GB"/>
        </w:rPr>
        <w:t>F</w:t>
      </w:r>
      <w:r w:rsidRPr="00393037">
        <w:rPr>
          <w:lang w:val="en-GB"/>
        </w:rPr>
        <w:t>actors</w:t>
      </w:r>
      <w:bookmarkEnd w:id="36"/>
      <w:bookmarkEnd w:id="37"/>
      <w:r w:rsidRPr="00393037">
        <w:rPr>
          <w:lang w:val="en-GB"/>
        </w:rPr>
        <w:t xml:space="preserve"> </w:t>
      </w:r>
    </w:p>
    <w:p w14:paraId="1AC3C9EB" w14:textId="4B15E577" w:rsidR="00BC02B9" w:rsidRPr="0073617C" w:rsidRDefault="003E7DC0" w:rsidP="00BC02B9">
      <w:pPr>
        <w:pStyle w:val="Brdtekst"/>
        <w:rPr>
          <w:lang w:val="en-GB"/>
        </w:rPr>
      </w:pPr>
      <w:r>
        <w:rPr>
          <w:lang w:val="en-GB"/>
        </w:rPr>
        <w:t xml:space="preserve">A </w:t>
      </w:r>
      <w:r w:rsidR="00BC02B9" w:rsidRPr="00393037">
        <w:rPr>
          <w:lang w:val="en-GB"/>
        </w:rPr>
        <w:t xml:space="preserve">production permit will </w:t>
      </w:r>
      <w:r>
        <w:rPr>
          <w:lang w:val="en-GB"/>
        </w:rPr>
        <w:t xml:space="preserve">not </w:t>
      </w:r>
      <w:r w:rsidR="00BC02B9" w:rsidRPr="00393037">
        <w:rPr>
          <w:lang w:val="en-GB"/>
        </w:rPr>
        <w:t xml:space="preserve">be issued </w:t>
      </w:r>
      <w:r w:rsidR="00BC02B9">
        <w:rPr>
          <w:lang w:val="en-GB"/>
        </w:rPr>
        <w:t>before</w:t>
      </w:r>
      <w:r w:rsidR="00BC02B9" w:rsidRPr="00393037">
        <w:rPr>
          <w:lang w:val="en-GB"/>
        </w:rPr>
        <w:t xml:space="preserve"> a plan for development and operation (PDO) is approved or an exemption from such a plan is given, cf. </w:t>
      </w:r>
      <w:r w:rsidR="00BC02B9">
        <w:rPr>
          <w:lang w:val="en-GB"/>
        </w:rPr>
        <w:t xml:space="preserve">section 4-4 (1) </w:t>
      </w:r>
      <w:r w:rsidR="00BC02B9" w:rsidRPr="0073617C">
        <w:rPr>
          <w:lang w:val="en-GB"/>
        </w:rPr>
        <w:t>and (3) of the PA.</w:t>
      </w:r>
    </w:p>
    <w:p w14:paraId="6425F3BE" w14:textId="77777777" w:rsidR="00BC02B9" w:rsidRPr="000C23F1" w:rsidRDefault="00BC02B9" w:rsidP="00BC02B9">
      <w:pPr>
        <w:pStyle w:val="Brdtekst"/>
        <w:rPr>
          <w:lang w:val="en-GB"/>
        </w:rPr>
      </w:pPr>
    </w:p>
    <w:p w14:paraId="1F04A2C8" w14:textId="77777777" w:rsidR="00BC02B9" w:rsidRPr="00393037" w:rsidRDefault="00BC02B9" w:rsidP="00BC02B9">
      <w:pPr>
        <w:ind w:left="-5" w:right="78"/>
        <w:rPr>
          <w:lang w:val="en-GB"/>
        </w:rPr>
      </w:pPr>
      <w:r w:rsidRPr="00393037">
        <w:rPr>
          <w:lang w:val="en-GB"/>
        </w:rPr>
        <w:t>As a rule, the field operator shall apply for a production and injection permit, as well as a flaring and cold-venting permit, for each upcoming calendar year. Use of gas for heating or power generation does not require a permit pursuant to the Petroleum Act.</w:t>
      </w:r>
    </w:p>
    <w:p w14:paraId="0FE59592" w14:textId="77777777" w:rsidR="00BC02B9" w:rsidRPr="00393037" w:rsidRDefault="00BC02B9" w:rsidP="00BC02B9">
      <w:pPr>
        <w:ind w:right="78"/>
        <w:rPr>
          <w:lang w:val="en-GB"/>
        </w:rPr>
      </w:pPr>
    </w:p>
    <w:p w14:paraId="75A7BD61" w14:textId="71666F54" w:rsidR="00BC02B9" w:rsidRPr="00393037" w:rsidRDefault="00BC02B9" w:rsidP="00BC02B9">
      <w:pPr>
        <w:ind w:left="-5" w:right="78"/>
        <w:rPr>
          <w:lang w:val="en-GB"/>
        </w:rPr>
      </w:pPr>
      <w:r w:rsidRPr="00393037">
        <w:rPr>
          <w:lang w:val="en-GB"/>
        </w:rPr>
        <w:t>Fields which share process facilities with other fields can apply for a shared production permit. This option primarily applies for fields with the same ownership interests. The need for a joint production permit shall be clarified with the M</w:t>
      </w:r>
      <w:r w:rsidR="00A57A14">
        <w:rPr>
          <w:lang w:val="en-GB"/>
        </w:rPr>
        <w:t>inistry</w:t>
      </w:r>
      <w:r w:rsidR="00111111">
        <w:rPr>
          <w:lang w:val="en-GB"/>
        </w:rPr>
        <w:t xml:space="preserve"> </w:t>
      </w:r>
      <w:r w:rsidRPr="00393037">
        <w:rPr>
          <w:lang w:val="en-GB"/>
        </w:rPr>
        <w:t>prior to application.</w:t>
      </w:r>
    </w:p>
    <w:p w14:paraId="3F192D0C" w14:textId="77777777" w:rsidR="00BC02B9" w:rsidRPr="00393037" w:rsidRDefault="00BC02B9" w:rsidP="00BC02B9">
      <w:pPr>
        <w:ind w:left="-5" w:right="78"/>
        <w:rPr>
          <w:lang w:val="en-GB"/>
        </w:rPr>
      </w:pPr>
    </w:p>
    <w:p w14:paraId="43E1F41C" w14:textId="6FD764CD" w:rsidR="00BC02B9" w:rsidRDefault="00BC02B9" w:rsidP="00BC02B9">
      <w:pPr>
        <w:pStyle w:val="Brdtekst"/>
        <w:rPr>
          <w:lang w:val="en-GB"/>
        </w:rPr>
      </w:pPr>
      <w:r w:rsidRPr="00393037">
        <w:rPr>
          <w:lang w:val="en-GB"/>
        </w:rPr>
        <w:t xml:space="preserve">Flaring and cold-venting of petroleum beyond what is </w:t>
      </w:r>
      <w:r>
        <w:rPr>
          <w:lang w:val="en-GB"/>
        </w:rPr>
        <w:t>considered</w:t>
      </w:r>
      <w:r w:rsidRPr="00393037">
        <w:rPr>
          <w:lang w:val="en-GB"/>
        </w:rPr>
        <w:t xml:space="preserve"> necessary for safety reasons for normal operations is not permitted without approval from the M</w:t>
      </w:r>
      <w:r w:rsidR="008C6927">
        <w:rPr>
          <w:lang w:val="en-GB"/>
        </w:rPr>
        <w:t>inistry</w:t>
      </w:r>
      <w:r w:rsidRPr="00393037">
        <w:rPr>
          <w:lang w:val="en-GB"/>
        </w:rPr>
        <w:t xml:space="preserve">, cf. </w:t>
      </w:r>
      <w:r>
        <w:rPr>
          <w:lang w:val="en-GB"/>
        </w:rPr>
        <w:t>s</w:t>
      </w:r>
      <w:r w:rsidRPr="00393037">
        <w:rPr>
          <w:lang w:val="en-GB"/>
        </w:rPr>
        <w:t>ection 4-4 (2) of the PA.</w:t>
      </w:r>
      <w:r>
        <w:rPr>
          <w:lang w:val="en-GB"/>
        </w:rPr>
        <w:t xml:space="preserve"> </w:t>
      </w:r>
      <w:r w:rsidR="00912DA6">
        <w:rPr>
          <w:lang w:val="en-GB"/>
        </w:rPr>
        <w:t>Quota</w:t>
      </w:r>
      <w:r w:rsidR="00605111">
        <w:rPr>
          <w:lang w:val="en-GB"/>
        </w:rPr>
        <w:t>s for f</w:t>
      </w:r>
      <w:r w:rsidRPr="00393037">
        <w:rPr>
          <w:lang w:val="en-GB"/>
        </w:rPr>
        <w:t>laring and cold-venting</w:t>
      </w:r>
      <w:r>
        <w:rPr>
          <w:lang w:val="en-GB"/>
        </w:rPr>
        <w:t xml:space="preserve"> are issued </w:t>
      </w:r>
      <w:r w:rsidR="00CA68AE">
        <w:rPr>
          <w:lang w:val="en-GB"/>
        </w:rPr>
        <w:t xml:space="preserve">per </w:t>
      </w:r>
      <w:r w:rsidR="009B074B">
        <w:rPr>
          <w:lang w:val="en-GB"/>
        </w:rPr>
        <w:t>calendar</w:t>
      </w:r>
      <w:r w:rsidR="002A5862">
        <w:rPr>
          <w:lang w:val="en-GB"/>
        </w:rPr>
        <w:t xml:space="preserve"> year, and these </w:t>
      </w:r>
      <w:r w:rsidR="0072472E">
        <w:rPr>
          <w:lang w:val="en-GB"/>
        </w:rPr>
        <w:t>cannot</w:t>
      </w:r>
      <w:r w:rsidR="001474A0">
        <w:rPr>
          <w:lang w:val="en-GB"/>
        </w:rPr>
        <w:t xml:space="preserve"> be exceeded without approval from </w:t>
      </w:r>
      <w:r w:rsidR="00D30774">
        <w:rPr>
          <w:lang w:val="en-GB"/>
        </w:rPr>
        <w:t xml:space="preserve">the </w:t>
      </w:r>
      <w:r w:rsidR="00287D80" w:rsidRPr="00393037">
        <w:rPr>
          <w:lang w:val="en-GB"/>
        </w:rPr>
        <w:t>M</w:t>
      </w:r>
      <w:r w:rsidR="00287D80">
        <w:rPr>
          <w:lang w:val="en-GB"/>
        </w:rPr>
        <w:t>inistry</w:t>
      </w:r>
      <w:r w:rsidR="0072472E">
        <w:rPr>
          <w:rFonts w:cs="Calibri"/>
          <w:lang w:val="en-GB"/>
        </w:rPr>
        <w:t>.</w:t>
      </w:r>
      <w:r>
        <w:rPr>
          <w:lang w:val="en-GB"/>
        </w:rPr>
        <w:t xml:space="preserve"> Land facilities and non-field installations which needs flaring and or </w:t>
      </w:r>
      <w:proofErr w:type="gramStart"/>
      <w:r>
        <w:rPr>
          <w:lang w:val="en-GB"/>
        </w:rPr>
        <w:t>cold-venting</w:t>
      </w:r>
      <w:proofErr w:type="gramEnd"/>
      <w:r>
        <w:rPr>
          <w:lang w:val="en-GB"/>
        </w:rPr>
        <w:t xml:space="preserve"> shall also apply for a permit. </w:t>
      </w:r>
    </w:p>
    <w:p w14:paraId="4E5EAC57" w14:textId="77777777" w:rsidR="00BC02B9" w:rsidRPr="00393037" w:rsidRDefault="00BC02B9" w:rsidP="00BC02B9">
      <w:pPr>
        <w:pStyle w:val="Brdtekst"/>
        <w:rPr>
          <w:lang w:val="en-GB"/>
        </w:rPr>
      </w:pPr>
    </w:p>
    <w:p w14:paraId="21065B1A" w14:textId="77777777" w:rsidR="00BC02B9" w:rsidRPr="0073617C" w:rsidRDefault="00BC02B9" w:rsidP="00BC02B9">
      <w:pPr>
        <w:pStyle w:val="Brdtekst"/>
        <w:rPr>
          <w:lang w:val="en-GB"/>
        </w:rPr>
      </w:pPr>
      <w:r w:rsidRPr="000C23F1">
        <w:rPr>
          <w:lang w:val="en-GB"/>
        </w:rPr>
        <w:t>Please provide contact information (phone number and e-mail address) in the application.</w:t>
      </w:r>
    </w:p>
    <w:p w14:paraId="0BE1B197" w14:textId="2499B70B" w:rsidR="00BC02B9" w:rsidRPr="000C23F1" w:rsidRDefault="00BC02B9" w:rsidP="00D32207">
      <w:pPr>
        <w:pStyle w:val="Overskrift1"/>
        <w:numPr>
          <w:ilvl w:val="0"/>
          <w:numId w:val="4"/>
        </w:numPr>
        <w:spacing w:before="600" w:after="120"/>
        <w:rPr>
          <w:lang w:val="en-GB"/>
        </w:rPr>
      </w:pPr>
      <w:bookmarkStart w:id="38" w:name="_Toc138670741"/>
      <w:bookmarkStart w:id="39" w:name="_Toc505781919"/>
      <w:bookmarkStart w:id="40" w:name="_Toc505933190"/>
      <w:bookmarkStart w:id="41" w:name="_Toc505936801"/>
      <w:bookmarkStart w:id="42" w:name="_Toc506202868"/>
      <w:bookmarkStart w:id="43" w:name="_Toc200454818"/>
      <w:r w:rsidRPr="000C23F1">
        <w:rPr>
          <w:lang w:val="en-GB"/>
        </w:rPr>
        <w:lastRenderedPageBreak/>
        <w:t xml:space="preserve">Production </w:t>
      </w:r>
      <w:r w:rsidR="00487D6F">
        <w:rPr>
          <w:lang w:val="en-GB"/>
        </w:rPr>
        <w:t>P</w:t>
      </w:r>
      <w:r w:rsidRPr="000C23F1">
        <w:rPr>
          <w:lang w:val="en-GB"/>
        </w:rPr>
        <w:t xml:space="preserve">ermit </w:t>
      </w:r>
      <w:r w:rsidR="00F766B6">
        <w:rPr>
          <w:lang w:val="en-GB"/>
        </w:rPr>
        <w:t>be</w:t>
      </w:r>
      <w:r w:rsidR="00F766B6" w:rsidRPr="000C23F1">
        <w:rPr>
          <w:lang w:val="en-GB"/>
        </w:rPr>
        <w:t>fore</w:t>
      </w:r>
      <w:r w:rsidRPr="000C23F1">
        <w:rPr>
          <w:lang w:val="en-GB"/>
        </w:rPr>
        <w:t xml:space="preserve"> </w:t>
      </w:r>
      <w:r w:rsidR="00487D6F">
        <w:rPr>
          <w:lang w:val="en-GB"/>
        </w:rPr>
        <w:t>S</w:t>
      </w:r>
      <w:r w:rsidRPr="000C23F1">
        <w:rPr>
          <w:lang w:val="en-GB"/>
        </w:rPr>
        <w:t>tart-up</w:t>
      </w:r>
      <w:bookmarkEnd w:id="38"/>
      <w:bookmarkEnd w:id="43"/>
      <w:r w:rsidRPr="000C23F1">
        <w:rPr>
          <w:lang w:val="en-GB"/>
        </w:rPr>
        <w:t xml:space="preserve"> </w:t>
      </w:r>
    </w:p>
    <w:p w14:paraId="6C66A9B9" w14:textId="77777777" w:rsidR="00BC02B9" w:rsidRPr="00393037" w:rsidRDefault="00BC02B9" w:rsidP="00BC02B9">
      <w:pPr>
        <w:pStyle w:val="Brdtekst"/>
        <w:rPr>
          <w:lang w:val="en-GB"/>
        </w:rPr>
      </w:pPr>
      <w:r>
        <w:rPr>
          <w:lang w:val="en-GB"/>
        </w:rPr>
        <w:t>When</w:t>
      </w:r>
      <w:r w:rsidRPr="00393037">
        <w:rPr>
          <w:lang w:val="en-GB"/>
        </w:rPr>
        <w:t xml:space="preserve"> starting up new fields</w:t>
      </w:r>
      <w:r>
        <w:rPr>
          <w:lang w:val="en-GB"/>
        </w:rPr>
        <w:t>,</w:t>
      </w:r>
      <w:r w:rsidRPr="00393037">
        <w:rPr>
          <w:lang w:val="en-GB"/>
        </w:rPr>
        <w:t xml:space="preserve"> licensees</w:t>
      </w:r>
      <w:r>
        <w:rPr>
          <w:lang w:val="en-GB"/>
        </w:rPr>
        <w:t xml:space="preserve"> must </w:t>
      </w:r>
      <w:r w:rsidRPr="00393037">
        <w:rPr>
          <w:lang w:val="en-GB"/>
        </w:rPr>
        <w:t xml:space="preserve">apply for a production and injection permit, as well as a flaring and cold-venting permit. The application shall be submitted no later than </w:t>
      </w:r>
      <w:r w:rsidRPr="00393037">
        <w:rPr>
          <w:u w:val="single"/>
          <w:lang w:val="en-GB"/>
        </w:rPr>
        <w:t>six weeks</w:t>
      </w:r>
      <w:r w:rsidRPr="00393037">
        <w:rPr>
          <w:lang w:val="en-GB"/>
        </w:rPr>
        <w:t xml:space="preserve"> prior to the earliest scheduled start of production. If the scheduled production start-up does not coincide with the start-up of flaring and cold-venting, two separate applications can be </w:t>
      </w:r>
      <w:proofErr w:type="gramStart"/>
      <w:r w:rsidRPr="00393037">
        <w:rPr>
          <w:lang w:val="en-GB"/>
        </w:rPr>
        <w:t>submitted;</w:t>
      </w:r>
      <w:proofErr w:type="gramEnd"/>
      <w:r w:rsidRPr="00393037">
        <w:rPr>
          <w:lang w:val="en-GB"/>
        </w:rPr>
        <w:t xml:space="preserve"> one for production and injection, and one for flaring and cold-venting, respectively.</w:t>
      </w:r>
    </w:p>
    <w:p w14:paraId="3989FD11" w14:textId="77777777" w:rsidR="00BC02B9" w:rsidRPr="00393037" w:rsidRDefault="00BC02B9" w:rsidP="00BC02B9">
      <w:pPr>
        <w:pStyle w:val="Brdtekst"/>
        <w:rPr>
          <w:lang w:val="en-GB"/>
        </w:rPr>
      </w:pPr>
    </w:p>
    <w:p w14:paraId="7DBE4D83" w14:textId="59ED3F3D" w:rsidR="00BC02B9" w:rsidRPr="00393037" w:rsidRDefault="00BC02B9" w:rsidP="00BC02B9">
      <w:pPr>
        <w:pStyle w:val="Brdtekst"/>
        <w:rPr>
          <w:lang w:val="en-GB"/>
        </w:rPr>
      </w:pPr>
      <w:r w:rsidRPr="00393037">
        <w:rPr>
          <w:lang w:val="en-GB"/>
        </w:rPr>
        <w:t xml:space="preserve">The production permit applies from production start-up through the current calendar year. </w:t>
      </w:r>
      <w:r>
        <w:rPr>
          <w:lang w:val="en-GB"/>
        </w:rPr>
        <w:t>I</w:t>
      </w:r>
      <w:r w:rsidRPr="00393037">
        <w:rPr>
          <w:lang w:val="en-GB"/>
        </w:rPr>
        <w:t>f start-up is scheduled toward the end of the calendar year</w:t>
      </w:r>
      <w:r>
        <w:rPr>
          <w:lang w:val="en-GB"/>
        </w:rPr>
        <w:t xml:space="preserve"> the license</w:t>
      </w:r>
      <w:r w:rsidR="00B503AB">
        <w:rPr>
          <w:lang w:val="en-GB"/>
        </w:rPr>
        <w:t>e</w:t>
      </w:r>
      <w:r>
        <w:rPr>
          <w:lang w:val="en-GB"/>
        </w:rPr>
        <w:t xml:space="preserve">s shall </w:t>
      </w:r>
      <w:proofErr w:type="gramStart"/>
      <w:r>
        <w:rPr>
          <w:lang w:val="en-GB"/>
        </w:rPr>
        <w:t>submit an application</w:t>
      </w:r>
      <w:proofErr w:type="gramEnd"/>
      <w:r>
        <w:rPr>
          <w:lang w:val="en-GB"/>
        </w:rPr>
        <w:t xml:space="preserve"> for the remainder of the current year in addition to an application for the upcoming calendar year. </w:t>
      </w:r>
    </w:p>
    <w:p w14:paraId="08B0A0B7" w14:textId="77777777" w:rsidR="00BC02B9" w:rsidRDefault="00BC02B9" w:rsidP="00BC02B9">
      <w:pPr>
        <w:pStyle w:val="Brdtekst"/>
        <w:rPr>
          <w:lang w:val="en-GB"/>
        </w:rPr>
      </w:pPr>
    </w:p>
    <w:p w14:paraId="7B124559" w14:textId="318B7ABB" w:rsidR="00BC02B9" w:rsidRDefault="00BC02B9" w:rsidP="00BC02B9">
      <w:pPr>
        <w:pStyle w:val="Brdtekst"/>
        <w:rPr>
          <w:lang w:val="en-GB"/>
        </w:rPr>
      </w:pPr>
      <w:r>
        <w:rPr>
          <w:lang w:val="en-GB"/>
        </w:rPr>
        <w:t>Land facilities and non-field installations which needs flaring and or cold-venting shall apply for a permit</w:t>
      </w:r>
      <w:r w:rsidR="000441D8" w:rsidRPr="000441D8">
        <w:rPr>
          <w:lang w:val="en-GB"/>
        </w:rPr>
        <w:t xml:space="preserve"> </w:t>
      </w:r>
      <w:r w:rsidR="000441D8" w:rsidRPr="00393037">
        <w:rPr>
          <w:lang w:val="en-GB"/>
        </w:rPr>
        <w:t>for flaring and cold-venting</w:t>
      </w:r>
      <w:r>
        <w:rPr>
          <w:lang w:val="en-GB"/>
        </w:rPr>
        <w:t>.</w:t>
      </w:r>
    </w:p>
    <w:p w14:paraId="06FB625E" w14:textId="77777777" w:rsidR="00BC02B9" w:rsidRPr="00393037" w:rsidRDefault="00BC02B9" w:rsidP="00BC02B9">
      <w:pPr>
        <w:pStyle w:val="Brdtekst"/>
        <w:rPr>
          <w:lang w:val="en-GB"/>
        </w:rPr>
      </w:pPr>
    </w:p>
    <w:p w14:paraId="74F96D83" w14:textId="21E38CCA" w:rsidR="00BC02B9" w:rsidRPr="00393037" w:rsidRDefault="00BC02B9" w:rsidP="00D32207">
      <w:pPr>
        <w:pStyle w:val="Overskrift2"/>
        <w:numPr>
          <w:ilvl w:val="1"/>
          <w:numId w:val="4"/>
        </w:numPr>
        <w:spacing w:before="120" w:after="120"/>
        <w:rPr>
          <w:lang w:val="en-GB"/>
        </w:rPr>
      </w:pPr>
      <w:bookmarkStart w:id="44" w:name="_Toc138670742"/>
      <w:bookmarkStart w:id="45" w:name="_Toc200454819"/>
      <w:r w:rsidRPr="00393037">
        <w:rPr>
          <w:lang w:val="en-GB"/>
        </w:rPr>
        <w:t xml:space="preserve">Production and </w:t>
      </w:r>
      <w:r w:rsidR="00487D6F">
        <w:rPr>
          <w:lang w:val="en-GB"/>
        </w:rPr>
        <w:t>I</w:t>
      </w:r>
      <w:r w:rsidRPr="00393037">
        <w:rPr>
          <w:lang w:val="en-GB"/>
        </w:rPr>
        <w:t>njection</w:t>
      </w:r>
      <w:bookmarkEnd w:id="44"/>
      <w:bookmarkEnd w:id="45"/>
      <w:r w:rsidRPr="00393037">
        <w:rPr>
          <w:lang w:val="en-GB"/>
        </w:rPr>
        <w:t xml:space="preserve"> </w:t>
      </w:r>
    </w:p>
    <w:p w14:paraId="4520483B" w14:textId="4BB5F0DA" w:rsidR="00BC02B9" w:rsidRPr="0073617C" w:rsidRDefault="00BC02B9" w:rsidP="00742DEE">
      <w:pPr>
        <w:pStyle w:val="Brdtekst"/>
        <w:rPr>
          <w:rStyle w:val="LenkeTegn"/>
          <w:lang w:val="en-GB"/>
        </w:rPr>
      </w:pPr>
      <w:r w:rsidRPr="00834DA6">
        <w:rPr>
          <w:lang w:val="en-GB"/>
        </w:rPr>
        <w:t>The authorities' assessment of the application will be based on the PDO or exemption from PDO in force, the status report before production start-up, cf.</w:t>
      </w:r>
      <w:r w:rsidRPr="00B7683E">
        <w:rPr>
          <w:lang w:val="en-US"/>
        </w:rPr>
        <w:t xml:space="preserve"> </w:t>
      </w:r>
      <w:hyperlink r:id="rId20" w:anchor="Chapter-1" w:history="1">
        <w:r w:rsidR="008B1339">
          <w:rPr>
            <w:rStyle w:val="Hyperkobling"/>
            <w:lang w:val="en-US"/>
          </w:rPr>
          <w:t xml:space="preserve">section 32 of the </w:t>
        </w:r>
        <w:r w:rsidR="007D2181">
          <w:rPr>
            <w:rStyle w:val="Hyperkobling"/>
            <w:lang w:val="en-US"/>
          </w:rPr>
          <w:t>R</w:t>
        </w:r>
        <w:r w:rsidR="008B1339">
          <w:rPr>
            <w:rStyle w:val="Hyperkobling"/>
            <w:lang w:val="en-US"/>
          </w:rPr>
          <w:t>egulations relating to resource management in the petroleum activities</w:t>
        </w:r>
      </w:hyperlink>
      <w:r w:rsidRPr="0073617C">
        <w:rPr>
          <w:lang w:val="en-GB"/>
        </w:rPr>
        <w:t>, as well as information from the authorities' continuous follow-up of the production licenses.</w:t>
      </w:r>
      <w:r w:rsidR="00742DEE">
        <w:rPr>
          <w:lang w:val="en-GB"/>
        </w:rPr>
        <w:t xml:space="preserve"> </w:t>
      </w:r>
      <w:r w:rsidRPr="00834DA6">
        <w:rPr>
          <w:lang w:val="en-GB"/>
        </w:rPr>
        <w:t>Please refer to separate g</w:t>
      </w:r>
      <w:r w:rsidRPr="00372BE7">
        <w:rPr>
          <w:lang w:val="en-GB"/>
        </w:rPr>
        <w:t>ui</w:t>
      </w:r>
      <w:r w:rsidRPr="00A71AE9">
        <w:rPr>
          <w:lang w:val="en-GB"/>
        </w:rPr>
        <w:t>delines</w:t>
      </w:r>
      <w:r w:rsidRPr="00834DA6">
        <w:rPr>
          <w:lang w:val="en-GB"/>
        </w:rPr>
        <w:t xml:space="preserve"> for status reports before production start-up: </w:t>
      </w:r>
      <w:bookmarkStart w:id="46" w:name="_Hlk42018394"/>
      <w:r w:rsidRPr="0073617C">
        <w:rPr>
          <w:rStyle w:val="LenkeTegn"/>
          <w:lang w:val="en-GB"/>
        </w:rPr>
        <w:fldChar w:fldCharType="begin"/>
      </w:r>
      <w:r w:rsidR="00103819">
        <w:rPr>
          <w:rStyle w:val="LenkeTegn"/>
          <w:lang w:val="en-GB"/>
        </w:rPr>
        <w:instrText>HYPERLINK "https://www.sodir.no/globalassets/1-sodir/regelverk/tematiske-veiledninger/eng/status-before-startup.pdf"</w:instrText>
      </w:r>
      <w:r w:rsidRPr="0073617C">
        <w:rPr>
          <w:rStyle w:val="LenkeTegn"/>
          <w:lang w:val="en-GB"/>
        </w:rPr>
      </w:r>
      <w:r w:rsidRPr="0073617C">
        <w:rPr>
          <w:rStyle w:val="LenkeTegn"/>
          <w:lang w:val="en-GB"/>
        </w:rPr>
        <w:fldChar w:fldCharType="separate"/>
      </w:r>
      <w:r w:rsidR="005A583A">
        <w:rPr>
          <w:rStyle w:val="LenkeTegn"/>
          <w:lang w:val="en-GB"/>
        </w:rPr>
        <w:t>g</w:t>
      </w:r>
      <w:r w:rsidRPr="0073617C">
        <w:rPr>
          <w:rStyle w:val="LenkeTegn"/>
          <w:lang w:val="en-GB"/>
        </w:rPr>
        <w:t xml:space="preserve">uidelines for status reports before </w:t>
      </w:r>
      <w:r w:rsidRPr="000C23F1">
        <w:rPr>
          <w:rStyle w:val="LenkeTegn"/>
          <w:lang w:val="en-GB"/>
        </w:rPr>
        <w:t>production start-up</w:t>
      </w:r>
      <w:r w:rsidRPr="0073617C">
        <w:rPr>
          <w:rStyle w:val="LenkeTegn"/>
          <w:lang w:val="en-GB"/>
        </w:rPr>
        <w:fldChar w:fldCharType="end"/>
      </w:r>
      <w:bookmarkEnd w:id="46"/>
      <w:r w:rsidRPr="0073617C">
        <w:rPr>
          <w:rStyle w:val="LenkeTegn"/>
          <w:lang w:val="en-GB"/>
        </w:rPr>
        <w:t>.</w:t>
      </w:r>
    </w:p>
    <w:p w14:paraId="027FE4D1" w14:textId="77777777" w:rsidR="00BC02B9" w:rsidRPr="000C23F1" w:rsidRDefault="00BC02B9" w:rsidP="00BC02B9">
      <w:pPr>
        <w:pStyle w:val="Brdtekst"/>
        <w:rPr>
          <w:rStyle w:val="LenkeTegn"/>
          <w:lang w:val="en-GB"/>
        </w:rPr>
      </w:pPr>
    </w:p>
    <w:p w14:paraId="7F79D02F" w14:textId="77777777" w:rsidR="00BC02B9" w:rsidRPr="00834DA6" w:rsidRDefault="00BC02B9" w:rsidP="00BC02B9">
      <w:pPr>
        <w:pStyle w:val="Brdtekst"/>
        <w:rPr>
          <w:lang w:val="en-GB"/>
        </w:rPr>
      </w:pPr>
      <w:r w:rsidRPr="00834DA6">
        <w:rPr>
          <w:lang w:val="en-GB"/>
        </w:rPr>
        <w:t xml:space="preserve">Table 1 shall be completed with annual data and enclosed with the application. Any discrepancies between the volume reported for the RNB and the application volume shall be </w:t>
      </w:r>
      <w:r>
        <w:rPr>
          <w:lang w:val="en-GB"/>
        </w:rPr>
        <w:t>explained</w:t>
      </w:r>
      <w:r w:rsidRPr="00834DA6">
        <w:rPr>
          <w:lang w:val="en-GB"/>
        </w:rPr>
        <w:t xml:space="preserve"> in the application.</w:t>
      </w:r>
    </w:p>
    <w:p w14:paraId="10BCB9C4" w14:textId="77777777" w:rsidR="0030442A" w:rsidRPr="00834DA6" w:rsidRDefault="0030442A" w:rsidP="00BC02B9">
      <w:pPr>
        <w:pStyle w:val="Brdtekst"/>
        <w:rPr>
          <w:lang w:val="en-GB"/>
        </w:rPr>
      </w:pPr>
    </w:p>
    <w:p w14:paraId="7713E20A" w14:textId="77777777" w:rsidR="00BC02B9" w:rsidRPr="004E2A1D" w:rsidRDefault="00BC02B9" w:rsidP="00BC02B9">
      <w:pPr>
        <w:pStyle w:val="Brdtekst"/>
        <w:rPr>
          <w:sz w:val="20"/>
          <w:szCs w:val="20"/>
          <w:lang w:val="en-GB"/>
        </w:rPr>
      </w:pPr>
      <w:r w:rsidRPr="004E2A1D">
        <w:rPr>
          <w:sz w:val="20"/>
          <w:szCs w:val="20"/>
          <w:lang w:val="en-GB"/>
        </w:rPr>
        <w:t>Table 1 – Application volumes</w:t>
      </w:r>
    </w:p>
    <w:tbl>
      <w:tblPr>
        <w:tblW w:w="9356" w:type="dxa"/>
        <w:tblCellMar>
          <w:left w:w="70" w:type="dxa"/>
          <w:right w:w="70" w:type="dxa"/>
        </w:tblCellMar>
        <w:tblLook w:val="04A0" w:firstRow="1" w:lastRow="0" w:firstColumn="1" w:lastColumn="0" w:noHBand="0" w:noVBand="1"/>
      </w:tblPr>
      <w:tblGrid>
        <w:gridCol w:w="1560"/>
        <w:gridCol w:w="850"/>
        <w:gridCol w:w="945"/>
        <w:gridCol w:w="939"/>
        <w:gridCol w:w="951"/>
        <w:gridCol w:w="1245"/>
        <w:gridCol w:w="871"/>
        <w:gridCol w:w="983"/>
        <w:gridCol w:w="1012"/>
      </w:tblGrid>
      <w:tr w:rsidR="00C14E69" w:rsidRPr="00834DA6" w14:paraId="379A4020" w14:textId="77777777" w:rsidTr="004E2A1D">
        <w:trPr>
          <w:trHeight w:val="1320"/>
        </w:trPr>
        <w:tc>
          <w:tcPr>
            <w:tcW w:w="1560" w:type="dxa"/>
            <w:tcBorders>
              <w:top w:val="nil"/>
              <w:left w:val="nil"/>
              <w:bottom w:val="nil"/>
              <w:right w:val="nil"/>
            </w:tcBorders>
            <w:shd w:val="clear" w:color="000000" w:fill="FFFFFF"/>
            <w:noWrap/>
            <w:hideMark/>
          </w:tcPr>
          <w:p w14:paraId="617C5002" w14:textId="77777777" w:rsidR="00BC02B9" w:rsidRPr="00834DA6" w:rsidRDefault="00BC02B9">
            <w:pPr>
              <w:rPr>
                <w:rFonts w:ascii="Calibri" w:eastAsia="Times New Roman" w:hAnsi="Calibri" w:cs="Calibri"/>
                <w:color w:val="000000"/>
                <w:lang w:val="en-GB" w:eastAsia="nb-NO"/>
              </w:rPr>
            </w:pPr>
            <w:r w:rsidRPr="00834DA6">
              <w:rPr>
                <w:rFonts w:ascii="Calibri" w:eastAsia="Times New Roman" w:hAnsi="Calibri" w:cs="Calibri"/>
                <w:color w:val="000000"/>
                <w:lang w:val="en-GB" w:eastAsia="nb-NO"/>
              </w:rPr>
              <w:t> </w:t>
            </w:r>
          </w:p>
        </w:tc>
        <w:tc>
          <w:tcPr>
            <w:tcW w:w="850" w:type="dxa"/>
            <w:tcBorders>
              <w:top w:val="single" w:sz="4" w:space="0" w:color="auto"/>
              <w:left w:val="single" w:sz="8" w:space="0" w:color="auto"/>
              <w:bottom w:val="single" w:sz="8" w:space="0" w:color="auto"/>
              <w:right w:val="single" w:sz="8" w:space="0" w:color="auto"/>
            </w:tcBorders>
            <w:shd w:val="clear" w:color="000000" w:fill="EBF1DE"/>
            <w:hideMark/>
          </w:tcPr>
          <w:p w14:paraId="791636CA"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Water injection</w:t>
            </w:r>
          </w:p>
        </w:tc>
        <w:tc>
          <w:tcPr>
            <w:tcW w:w="945" w:type="dxa"/>
            <w:tcBorders>
              <w:top w:val="single" w:sz="4" w:space="0" w:color="auto"/>
              <w:left w:val="nil"/>
              <w:bottom w:val="single" w:sz="8" w:space="0" w:color="auto"/>
              <w:right w:val="single" w:sz="8" w:space="0" w:color="auto"/>
            </w:tcBorders>
            <w:shd w:val="clear" w:color="000000" w:fill="EBF1DE"/>
            <w:hideMark/>
          </w:tcPr>
          <w:p w14:paraId="6440C9F5"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Water production</w:t>
            </w:r>
          </w:p>
        </w:tc>
        <w:tc>
          <w:tcPr>
            <w:tcW w:w="939" w:type="dxa"/>
            <w:tcBorders>
              <w:top w:val="single" w:sz="4" w:space="0" w:color="auto"/>
              <w:left w:val="nil"/>
              <w:bottom w:val="single" w:sz="8" w:space="0" w:color="auto"/>
              <w:right w:val="single" w:sz="8" w:space="0" w:color="auto"/>
            </w:tcBorders>
            <w:shd w:val="clear" w:color="000000" w:fill="EBF1DE"/>
            <w:hideMark/>
          </w:tcPr>
          <w:p w14:paraId="2490AF78"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Gross</w:t>
            </w:r>
          </w:p>
          <w:p w14:paraId="5DA864E9"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gas</w:t>
            </w:r>
          </w:p>
          <w:p w14:paraId="20342214"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production</w:t>
            </w:r>
          </w:p>
        </w:tc>
        <w:tc>
          <w:tcPr>
            <w:tcW w:w="951" w:type="dxa"/>
            <w:tcBorders>
              <w:top w:val="single" w:sz="4" w:space="0" w:color="auto"/>
              <w:left w:val="nil"/>
              <w:bottom w:val="single" w:sz="8" w:space="0" w:color="auto"/>
              <w:right w:val="single" w:sz="8" w:space="0" w:color="auto"/>
            </w:tcBorders>
            <w:shd w:val="clear" w:color="000000" w:fill="EBF1DE"/>
            <w:hideMark/>
          </w:tcPr>
          <w:p w14:paraId="0B0C0E2B"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Gas injection</w:t>
            </w:r>
            <w:r w:rsidRPr="00834DA6">
              <w:rPr>
                <w:rFonts w:ascii="Arial" w:eastAsia="Times New Roman" w:hAnsi="Arial" w:cs="Arial"/>
                <w:color w:val="000000"/>
                <w:sz w:val="16"/>
                <w:szCs w:val="16"/>
                <w:lang w:val="en-GB" w:eastAsia="nb-NO"/>
              </w:rPr>
              <w:br/>
              <w:t>in own field, excl. gas lift</w:t>
            </w:r>
          </w:p>
        </w:tc>
        <w:tc>
          <w:tcPr>
            <w:tcW w:w="1245" w:type="dxa"/>
            <w:tcBorders>
              <w:top w:val="single" w:sz="4" w:space="0" w:color="auto"/>
              <w:left w:val="nil"/>
              <w:bottom w:val="single" w:sz="8" w:space="0" w:color="auto"/>
              <w:right w:val="single" w:sz="8" w:space="0" w:color="auto"/>
            </w:tcBorders>
            <w:shd w:val="clear" w:color="000000" w:fill="EBF1DE"/>
            <w:hideMark/>
          </w:tcPr>
          <w:p w14:paraId="6888443C"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Annual sale of</w:t>
            </w:r>
            <w:r w:rsidRPr="00834DA6">
              <w:rPr>
                <w:rFonts w:ascii="Arial" w:eastAsia="Times New Roman" w:hAnsi="Arial" w:cs="Arial"/>
                <w:color w:val="000000"/>
                <w:sz w:val="16"/>
                <w:szCs w:val="16"/>
                <w:lang w:val="en-GB" w:eastAsia="nb-NO"/>
              </w:rPr>
              <w:br/>
              <w:t>oil</w:t>
            </w:r>
            <w:r w:rsidRPr="00834DA6">
              <w:rPr>
                <w:rFonts w:ascii="Arial" w:eastAsia="Times New Roman" w:hAnsi="Arial" w:cs="Arial"/>
                <w:color w:val="000000"/>
                <w:sz w:val="16"/>
                <w:szCs w:val="16"/>
                <w:lang w:val="en-GB" w:eastAsia="nb-NO"/>
              </w:rPr>
              <w:br/>
              <w:t>Expected value</w:t>
            </w:r>
          </w:p>
        </w:tc>
        <w:tc>
          <w:tcPr>
            <w:tcW w:w="871" w:type="dxa"/>
            <w:tcBorders>
              <w:top w:val="single" w:sz="4" w:space="0" w:color="auto"/>
              <w:left w:val="nil"/>
              <w:bottom w:val="single" w:sz="8" w:space="0" w:color="auto"/>
              <w:right w:val="single" w:sz="8" w:space="0" w:color="auto"/>
            </w:tcBorders>
            <w:shd w:val="clear" w:color="000000" w:fill="EBF1DE"/>
            <w:hideMark/>
          </w:tcPr>
          <w:p w14:paraId="4EAEAFFA"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Sale of gas per calendar year</w:t>
            </w:r>
            <w:r w:rsidRPr="00834DA6">
              <w:rPr>
                <w:rFonts w:ascii="Arial" w:eastAsia="Times New Roman" w:hAnsi="Arial" w:cs="Arial"/>
                <w:color w:val="000000"/>
                <w:sz w:val="16"/>
                <w:szCs w:val="16"/>
                <w:lang w:val="en-GB" w:eastAsia="nb-NO"/>
              </w:rPr>
              <w:br/>
              <w:t>40 MJ/Sm</w:t>
            </w:r>
            <w:r w:rsidRPr="00834DA6">
              <w:rPr>
                <w:rFonts w:ascii="Arial" w:eastAsia="Times New Roman" w:hAnsi="Arial" w:cs="Arial"/>
                <w:color w:val="000000"/>
                <w:sz w:val="16"/>
                <w:szCs w:val="16"/>
                <w:vertAlign w:val="superscript"/>
                <w:lang w:val="en-GB" w:eastAsia="nb-NO"/>
              </w:rPr>
              <w:t>3</w:t>
            </w:r>
          </w:p>
        </w:tc>
        <w:tc>
          <w:tcPr>
            <w:tcW w:w="983" w:type="dxa"/>
            <w:tcBorders>
              <w:top w:val="single" w:sz="4" w:space="0" w:color="auto"/>
              <w:left w:val="nil"/>
              <w:bottom w:val="single" w:sz="8" w:space="0" w:color="auto"/>
              <w:right w:val="single" w:sz="8" w:space="0" w:color="auto"/>
            </w:tcBorders>
            <w:shd w:val="clear" w:color="000000" w:fill="EBF1DE"/>
            <w:hideMark/>
          </w:tcPr>
          <w:p w14:paraId="1EA1DF2A"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 xml:space="preserve">Annual sale of </w:t>
            </w:r>
            <w:r w:rsidRPr="00834DA6">
              <w:rPr>
                <w:rFonts w:ascii="Arial" w:eastAsia="Times New Roman" w:hAnsi="Arial" w:cs="Arial"/>
                <w:color w:val="000000"/>
                <w:sz w:val="16"/>
                <w:szCs w:val="16"/>
                <w:lang w:val="en-GB" w:eastAsia="nb-NO"/>
              </w:rPr>
              <w:br/>
              <w:t>NGL</w:t>
            </w:r>
            <w:r w:rsidRPr="00834DA6">
              <w:rPr>
                <w:rFonts w:ascii="Arial" w:eastAsia="Times New Roman" w:hAnsi="Arial" w:cs="Arial"/>
                <w:color w:val="000000"/>
                <w:sz w:val="16"/>
                <w:szCs w:val="16"/>
                <w:lang w:val="en-GB" w:eastAsia="nb-NO"/>
              </w:rPr>
              <w:br/>
            </w:r>
          </w:p>
        </w:tc>
        <w:tc>
          <w:tcPr>
            <w:tcW w:w="1012" w:type="dxa"/>
            <w:tcBorders>
              <w:top w:val="single" w:sz="4" w:space="0" w:color="auto"/>
              <w:left w:val="nil"/>
              <w:bottom w:val="single" w:sz="8" w:space="0" w:color="auto"/>
              <w:right w:val="single" w:sz="8" w:space="0" w:color="auto"/>
            </w:tcBorders>
            <w:shd w:val="clear" w:color="000000" w:fill="EBF1DE"/>
            <w:hideMark/>
          </w:tcPr>
          <w:p w14:paraId="42FB23D3"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Annual sale of condensate</w:t>
            </w:r>
            <w:r w:rsidRPr="00834DA6">
              <w:rPr>
                <w:rFonts w:ascii="Arial" w:eastAsia="Times New Roman" w:hAnsi="Arial" w:cs="Arial"/>
                <w:color w:val="000000"/>
                <w:sz w:val="16"/>
                <w:szCs w:val="16"/>
                <w:lang w:val="en-GB" w:eastAsia="nb-NO"/>
              </w:rPr>
              <w:br/>
            </w:r>
          </w:p>
        </w:tc>
      </w:tr>
      <w:tr w:rsidR="00C14E69" w:rsidRPr="00834DA6" w14:paraId="494CA5E2" w14:textId="77777777" w:rsidTr="004E2A1D">
        <w:trPr>
          <w:trHeight w:val="315"/>
        </w:trPr>
        <w:tc>
          <w:tcPr>
            <w:tcW w:w="1560" w:type="dxa"/>
            <w:tcBorders>
              <w:top w:val="nil"/>
              <w:left w:val="nil"/>
              <w:bottom w:val="single" w:sz="4" w:space="0" w:color="auto"/>
              <w:right w:val="nil"/>
            </w:tcBorders>
            <w:shd w:val="clear" w:color="000000" w:fill="FFFFFF"/>
            <w:noWrap/>
            <w:vAlign w:val="bottom"/>
            <w:hideMark/>
          </w:tcPr>
          <w:p w14:paraId="339AE9BC" w14:textId="77777777" w:rsidR="00BC02B9" w:rsidRPr="0073617C" w:rsidRDefault="00BC02B9">
            <w:pPr>
              <w:rPr>
                <w:rFonts w:ascii="Calibri" w:eastAsia="Times New Roman" w:hAnsi="Calibri" w:cs="Calibri"/>
                <w:color w:val="000000"/>
                <w:lang w:val="en-GB" w:eastAsia="nb-NO"/>
              </w:rPr>
            </w:pPr>
            <w:r w:rsidRPr="0073617C">
              <w:rPr>
                <w:rFonts w:ascii="Calibri" w:eastAsia="Times New Roman" w:hAnsi="Calibri" w:cs="Calibri"/>
                <w:color w:val="000000"/>
                <w:lang w:val="en-GB" w:eastAsia="nb-NO"/>
              </w:rPr>
              <w:t> </w:t>
            </w:r>
          </w:p>
        </w:tc>
        <w:tc>
          <w:tcPr>
            <w:tcW w:w="850" w:type="dxa"/>
            <w:tcBorders>
              <w:top w:val="dotted" w:sz="4" w:space="0" w:color="auto"/>
              <w:left w:val="single" w:sz="8" w:space="0" w:color="auto"/>
              <w:bottom w:val="single" w:sz="4" w:space="0" w:color="auto"/>
              <w:right w:val="single" w:sz="8" w:space="0" w:color="auto"/>
            </w:tcBorders>
            <w:shd w:val="clear" w:color="000000" w:fill="FFFFCC"/>
            <w:hideMark/>
          </w:tcPr>
          <w:p w14:paraId="5905B088" w14:textId="77777777" w:rsidR="00BC02B9" w:rsidRPr="000C23F1" w:rsidRDefault="00BC02B9">
            <w:pPr>
              <w:jc w:val="center"/>
              <w:rPr>
                <w:rFonts w:ascii="Arial" w:eastAsia="Times New Roman" w:hAnsi="Arial" w:cs="Arial"/>
                <w:color w:val="000000"/>
                <w:sz w:val="16"/>
                <w:szCs w:val="16"/>
                <w:lang w:val="en-GB" w:eastAsia="nb-NO"/>
              </w:rPr>
            </w:pPr>
            <w:r w:rsidRPr="000C23F1">
              <w:rPr>
                <w:rFonts w:ascii="Arial" w:eastAsia="Times New Roman" w:hAnsi="Arial" w:cs="Arial"/>
                <w:color w:val="000000"/>
                <w:sz w:val="16"/>
                <w:szCs w:val="16"/>
                <w:lang w:val="en-GB" w:eastAsia="nb-NO"/>
              </w:rPr>
              <w:t>million m</w:t>
            </w:r>
            <w:r w:rsidRPr="000C23F1">
              <w:rPr>
                <w:rFonts w:ascii="Arial" w:eastAsia="Times New Roman" w:hAnsi="Arial" w:cs="Arial"/>
                <w:color w:val="000000"/>
                <w:sz w:val="16"/>
                <w:szCs w:val="16"/>
                <w:vertAlign w:val="superscript"/>
                <w:lang w:val="en-GB" w:eastAsia="nb-NO"/>
              </w:rPr>
              <w:t>3</w:t>
            </w:r>
          </w:p>
        </w:tc>
        <w:tc>
          <w:tcPr>
            <w:tcW w:w="945" w:type="dxa"/>
            <w:tcBorders>
              <w:top w:val="dotted" w:sz="4" w:space="0" w:color="auto"/>
              <w:left w:val="nil"/>
              <w:bottom w:val="single" w:sz="4" w:space="0" w:color="auto"/>
              <w:right w:val="single" w:sz="8" w:space="0" w:color="auto"/>
            </w:tcBorders>
            <w:shd w:val="clear" w:color="000000" w:fill="FFFFCC"/>
            <w:hideMark/>
          </w:tcPr>
          <w:p w14:paraId="4A522613"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m</w:t>
            </w:r>
            <w:r w:rsidRPr="00834DA6">
              <w:rPr>
                <w:rFonts w:ascii="Arial" w:eastAsia="Times New Roman" w:hAnsi="Arial" w:cs="Arial"/>
                <w:color w:val="000000"/>
                <w:sz w:val="16"/>
                <w:szCs w:val="16"/>
                <w:vertAlign w:val="superscript"/>
                <w:lang w:val="en-GB" w:eastAsia="nb-NO"/>
              </w:rPr>
              <w:t>3</w:t>
            </w:r>
          </w:p>
        </w:tc>
        <w:tc>
          <w:tcPr>
            <w:tcW w:w="939" w:type="dxa"/>
            <w:tcBorders>
              <w:top w:val="dotted" w:sz="4" w:space="0" w:color="auto"/>
              <w:left w:val="nil"/>
              <w:bottom w:val="single" w:sz="4" w:space="0" w:color="auto"/>
              <w:right w:val="single" w:sz="8" w:space="0" w:color="auto"/>
            </w:tcBorders>
            <w:shd w:val="clear" w:color="000000" w:fill="FFFFCC"/>
            <w:hideMark/>
          </w:tcPr>
          <w:p w14:paraId="4C8B8A7B"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billion Sm</w:t>
            </w:r>
            <w:r w:rsidRPr="00834DA6">
              <w:rPr>
                <w:rFonts w:ascii="Arial" w:eastAsia="Times New Roman" w:hAnsi="Arial" w:cs="Arial"/>
                <w:color w:val="000000"/>
                <w:sz w:val="16"/>
                <w:szCs w:val="16"/>
                <w:vertAlign w:val="superscript"/>
                <w:lang w:val="en-GB" w:eastAsia="nb-NO"/>
              </w:rPr>
              <w:t>3</w:t>
            </w:r>
          </w:p>
        </w:tc>
        <w:tc>
          <w:tcPr>
            <w:tcW w:w="951" w:type="dxa"/>
            <w:tcBorders>
              <w:top w:val="dotted" w:sz="4" w:space="0" w:color="auto"/>
              <w:left w:val="nil"/>
              <w:bottom w:val="single" w:sz="4" w:space="0" w:color="auto"/>
              <w:right w:val="single" w:sz="8" w:space="0" w:color="auto"/>
            </w:tcBorders>
            <w:shd w:val="clear" w:color="000000" w:fill="FFFFCC"/>
            <w:hideMark/>
          </w:tcPr>
          <w:p w14:paraId="204C79E3"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billion Sm</w:t>
            </w:r>
            <w:r w:rsidRPr="00834DA6">
              <w:rPr>
                <w:rFonts w:ascii="Arial" w:eastAsia="Times New Roman" w:hAnsi="Arial" w:cs="Arial"/>
                <w:color w:val="000000"/>
                <w:sz w:val="16"/>
                <w:szCs w:val="16"/>
                <w:vertAlign w:val="superscript"/>
                <w:lang w:val="en-GB" w:eastAsia="nb-NO"/>
              </w:rPr>
              <w:t>3</w:t>
            </w:r>
          </w:p>
        </w:tc>
        <w:tc>
          <w:tcPr>
            <w:tcW w:w="1245" w:type="dxa"/>
            <w:tcBorders>
              <w:top w:val="dotted" w:sz="4" w:space="0" w:color="auto"/>
              <w:left w:val="nil"/>
              <w:bottom w:val="single" w:sz="4" w:space="0" w:color="auto"/>
              <w:right w:val="single" w:sz="8" w:space="0" w:color="auto"/>
            </w:tcBorders>
            <w:shd w:val="clear" w:color="000000" w:fill="FFFFCC"/>
            <w:hideMark/>
          </w:tcPr>
          <w:p w14:paraId="30ECADD7"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Sm</w:t>
            </w:r>
            <w:r w:rsidRPr="00834DA6">
              <w:rPr>
                <w:rFonts w:ascii="Arial" w:eastAsia="Times New Roman" w:hAnsi="Arial" w:cs="Arial"/>
                <w:color w:val="000000"/>
                <w:sz w:val="16"/>
                <w:szCs w:val="16"/>
                <w:vertAlign w:val="superscript"/>
                <w:lang w:val="en-GB" w:eastAsia="nb-NO"/>
              </w:rPr>
              <w:t>3</w:t>
            </w:r>
          </w:p>
        </w:tc>
        <w:tc>
          <w:tcPr>
            <w:tcW w:w="871" w:type="dxa"/>
            <w:tcBorders>
              <w:top w:val="dotted" w:sz="4" w:space="0" w:color="auto"/>
              <w:left w:val="nil"/>
              <w:bottom w:val="single" w:sz="4" w:space="0" w:color="auto"/>
              <w:right w:val="single" w:sz="8" w:space="0" w:color="auto"/>
            </w:tcBorders>
            <w:shd w:val="clear" w:color="000000" w:fill="FFFFCC"/>
            <w:hideMark/>
          </w:tcPr>
          <w:p w14:paraId="02D5E9AD"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billion Sm</w:t>
            </w:r>
            <w:r w:rsidRPr="00834DA6">
              <w:rPr>
                <w:rFonts w:ascii="Arial" w:eastAsia="Times New Roman" w:hAnsi="Arial" w:cs="Arial"/>
                <w:color w:val="000000"/>
                <w:sz w:val="16"/>
                <w:szCs w:val="16"/>
                <w:vertAlign w:val="superscript"/>
                <w:lang w:val="en-GB" w:eastAsia="nb-NO"/>
              </w:rPr>
              <w:t>3</w:t>
            </w:r>
          </w:p>
        </w:tc>
        <w:tc>
          <w:tcPr>
            <w:tcW w:w="983" w:type="dxa"/>
            <w:tcBorders>
              <w:top w:val="dotted" w:sz="4" w:space="0" w:color="auto"/>
              <w:left w:val="nil"/>
              <w:bottom w:val="single" w:sz="4" w:space="0" w:color="auto"/>
              <w:right w:val="single" w:sz="8" w:space="0" w:color="auto"/>
            </w:tcBorders>
            <w:shd w:val="clear" w:color="000000" w:fill="FFFFCC"/>
            <w:hideMark/>
          </w:tcPr>
          <w:p w14:paraId="637239C8"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tonnes</w:t>
            </w:r>
          </w:p>
        </w:tc>
        <w:tc>
          <w:tcPr>
            <w:tcW w:w="1012" w:type="dxa"/>
            <w:tcBorders>
              <w:top w:val="dotted" w:sz="4" w:space="0" w:color="auto"/>
              <w:left w:val="nil"/>
              <w:bottom w:val="single" w:sz="4" w:space="0" w:color="auto"/>
              <w:right w:val="single" w:sz="8" w:space="0" w:color="auto"/>
            </w:tcBorders>
            <w:shd w:val="clear" w:color="000000" w:fill="FFFFCC"/>
            <w:hideMark/>
          </w:tcPr>
          <w:p w14:paraId="301FA6BE"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Sm</w:t>
            </w:r>
            <w:r w:rsidRPr="00834DA6">
              <w:rPr>
                <w:rFonts w:ascii="Arial" w:eastAsia="Times New Roman" w:hAnsi="Arial" w:cs="Arial"/>
                <w:color w:val="000000"/>
                <w:sz w:val="16"/>
                <w:szCs w:val="16"/>
                <w:vertAlign w:val="superscript"/>
                <w:lang w:val="en-GB" w:eastAsia="nb-NO"/>
              </w:rPr>
              <w:t>3</w:t>
            </w:r>
          </w:p>
        </w:tc>
      </w:tr>
      <w:tr w:rsidR="00C14E69" w:rsidRPr="00834DA6" w14:paraId="697E4798" w14:textId="77777777" w:rsidTr="004E2A1D">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hideMark/>
          </w:tcPr>
          <w:p w14:paraId="1C84A74B"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RNB</w:t>
            </w:r>
          </w:p>
        </w:tc>
        <w:tc>
          <w:tcPr>
            <w:tcW w:w="850" w:type="dxa"/>
            <w:tcBorders>
              <w:top w:val="single" w:sz="4" w:space="0" w:color="auto"/>
              <w:left w:val="single" w:sz="4" w:space="0" w:color="auto"/>
              <w:bottom w:val="single" w:sz="4" w:space="0" w:color="auto"/>
              <w:right w:val="single" w:sz="4" w:space="0" w:color="auto"/>
            </w:tcBorders>
            <w:shd w:val="clear" w:color="000000" w:fill="FFFFCC"/>
            <w:hideMark/>
          </w:tcPr>
          <w:p w14:paraId="2812BA12"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945" w:type="dxa"/>
            <w:tcBorders>
              <w:top w:val="single" w:sz="4" w:space="0" w:color="auto"/>
              <w:left w:val="single" w:sz="4" w:space="0" w:color="auto"/>
              <w:bottom w:val="single" w:sz="4" w:space="0" w:color="auto"/>
              <w:right w:val="single" w:sz="4" w:space="0" w:color="auto"/>
            </w:tcBorders>
            <w:shd w:val="clear" w:color="000000" w:fill="FFFFCC"/>
            <w:hideMark/>
          </w:tcPr>
          <w:p w14:paraId="71790580"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39" w:type="dxa"/>
            <w:tcBorders>
              <w:top w:val="single" w:sz="4" w:space="0" w:color="auto"/>
              <w:left w:val="single" w:sz="4" w:space="0" w:color="auto"/>
              <w:bottom w:val="single" w:sz="4" w:space="0" w:color="auto"/>
              <w:right w:val="single" w:sz="4" w:space="0" w:color="auto"/>
            </w:tcBorders>
            <w:shd w:val="clear" w:color="000000" w:fill="FFFFCC"/>
            <w:hideMark/>
          </w:tcPr>
          <w:p w14:paraId="4AD4EBD9"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51" w:type="dxa"/>
            <w:tcBorders>
              <w:top w:val="single" w:sz="4" w:space="0" w:color="auto"/>
              <w:left w:val="single" w:sz="4" w:space="0" w:color="auto"/>
              <w:bottom w:val="single" w:sz="4" w:space="0" w:color="auto"/>
              <w:right w:val="single" w:sz="4" w:space="0" w:color="auto"/>
            </w:tcBorders>
            <w:shd w:val="clear" w:color="000000" w:fill="FFFFCC"/>
            <w:hideMark/>
          </w:tcPr>
          <w:p w14:paraId="6568B07B"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245" w:type="dxa"/>
            <w:tcBorders>
              <w:top w:val="single" w:sz="4" w:space="0" w:color="auto"/>
              <w:left w:val="single" w:sz="4" w:space="0" w:color="auto"/>
              <w:bottom w:val="single" w:sz="4" w:space="0" w:color="auto"/>
              <w:right w:val="single" w:sz="4" w:space="0" w:color="auto"/>
            </w:tcBorders>
            <w:shd w:val="clear" w:color="000000" w:fill="FFFFCC"/>
            <w:hideMark/>
          </w:tcPr>
          <w:p w14:paraId="7C4757E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871" w:type="dxa"/>
            <w:tcBorders>
              <w:top w:val="single" w:sz="4" w:space="0" w:color="auto"/>
              <w:left w:val="single" w:sz="4" w:space="0" w:color="auto"/>
              <w:bottom w:val="single" w:sz="4" w:space="0" w:color="auto"/>
              <w:right w:val="single" w:sz="4" w:space="0" w:color="auto"/>
            </w:tcBorders>
            <w:shd w:val="clear" w:color="000000" w:fill="FFFFCC"/>
            <w:hideMark/>
          </w:tcPr>
          <w:p w14:paraId="5804A82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83" w:type="dxa"/>
            <w:tcBorders>
              <w:top w:val="single" w:sz="4" w:space="0" w:color="auto"/>
              <w:left w:val="single" w:sz="4" w:space="0" w:color="auto"/>
              <w:bottom w:val="single" w:sz="4" w:space="0" w:color="auto"/>
              <w:right w:val="single" w:sz="4" w:space="0" w:color="auto"/>
            </w:tcBorders>
            <w:shd w:val="clear" w:color="000000" w:fill="FFFFCC"/>
            <w:hideMark/>
          </w:tcPr>
          <w:p w14:paraId="45B42C59"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012" w:type="dxa"/>
            <w:tcBorders>
              <w:top w:val="single" w:sz="4" w:space="0" w:color="auto"/>
              <w:left w:val="single" w:sz="4" w:space="0" w:color="auto"/>
              <w:bottom w:val="single" w:sz="4" w:space="0" w:color="auto"/>
              <w:right w:val="single" w:sz="4" w:space="0" w:color="auto"/>
            </w:tcBorders>
            <w:shd w:val="clear" w:color="000000" w:fill="FFFFCC"/>
            <w:hideMark/>
          </w:tcPr>
          <w:p w14:paraId="2C162B0C"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r>
      <w:tr w:rsidR="00C14E69" w:rsidRPr="00834DA6" w14:paraId="6ED035F3" w14:textId="77777777" w:rsidTr="004E2A1D">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hideMark/>
          </w:tcPr>
          <w:p w14:paraId="2C8D8310"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RNB discrepancy</w:t>
            </w:r>
          </w:p>
        </w:tc>
        <w:tc>
          <w:tcPr>
            <w:tcW w:w="850" w:type="dxa"/>
            <w:tcBorders>
              <w:top w:val="single" w:sz="4" w:space="0" w:color="auto"/>
              <w:left w:val="single" w:sz="4" w:space="0" w:color="auto"/>
              <w:bottom w:val="single" w:sz="4" w:space="0" w:color="auto"/>
              <w:right w:val="single" w:sz="4" w:space="0" w:color="auto"/>
            </w:tcBorders>
            <w:shd w:val="clear" w:color="000000" w:fill="FFFFCC"/>
            <w:hideMark/>
          </w:tcPr>
          <w:p w14:paraId="4BE9C56B"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945" w:type="dxa"/>
            <w:tcBorders>
              <w:top w:val="single" w:sz="4" w:space="0" w:color="auto"/>
              <w:left w:val="single" w:sz="4" w:space="0" w:color="auto"/>
              <w:bottom w:val="single" w:sz="4" w:space="0" w:color="auto"/>
              <w:right w:val="single" w:sz="4" w:space="0" w:color="auto"/>
            </w:tcBorders>
            <w:shd w:val="clear" w:color="000000" w:fill="FFFFCC"/>
            <w:hideMark/>
          </w:tcPr>
          <w:p w14:paraId="62477415"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39" w:type="dxa"/>
            <w:tcBorders>
              <w:top w:val="single" w:sz="4" w:space="0" w:color="auto"/>
              <w:left w:val="single" w:sz="4" w:space="0" w:color="auto"/>
              <w:bottom w:val="single" w:sz="4" w:space="0" w:color="auto"/>
              <w:right w:val="single" w:sz="4" w:space="0" w:color="auto"/>
            </w:tcBorders>
            <w:shd w:val="clear" w:color="000000" w:fill="FFFFCC"/>
            <w:hideMark/>
          </w:tcPr>
          <w:p w14:paraId="6A3D3E24"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51" w:type="dxa"/>
            <w:tcBorders>
              <w:top w:val="single" w:sz="4" w:space="0" w:color="auto"/>
              <w:left w:val="single" w:sz="4" w:space="0" w:color="auto"/>
              <w:bottom w:val="single" w:sz="4" w:space="0" w:color="auto"/>
              <w:right w:val="single" w:sz="4" w:space="0" w:color="auto"/>
            </w:tcBorders>
            <w:shd w:val="clear" w:color="000000" w:fill="FFFFCC"/>
            <w:hideMark/>
          </w:tcPr>
          <w:p w14:paraId="4A85D63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245" w:type="dxa"/>
            <w:tcBorders>
              <w:top w:val="single" w:sz="4" w:space="0" w:color="auto"/>
              <w:left w:val="single" w:sz="4" w:space="0" w:color="auto"/>
              <w:bottom w:val="single" w:sz="4" w:space="0" w:color="auto"/>
              <w:right w:val="single" w:sz="4" w:space="0" w:color="auto"/>
            </w:tcBorders>
            <w:shd w:val="clear" w:color="000000" w:fill="FFFFCC"/>
            <w:hideMark/>
          </w:tcPr>
          <w:p w14:paraId="0B783F2C"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871" w:type="dxa"/>
            <w:tcBorders>
              <w:top w:val="single" w:sz="4" w:space="0" w:color="auto"/>
              <w:left w:val="single" w:sz="4" w:space="0" w:color="auto"/>
              <w:bottom w:val="single" w:sz="4" w:space="0" w:color="auto"/>
              <w:right w:val="single" w:sz="4" w:space="0" w:color="auto"/>
            </w:tcBorders>
            <w:shd w:val="clear" w:color="000000" w:fill="FFFFCC"/>
            <w:hideMark/>
          </w:tcPr>
          <w:p w14:paraId="1F1C3522"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83" w:type="dxa"/>
            <w:tcBorders>
              <w:top w:val="single" w:sz="4" w:space="0" w:color="auto"/>
              <w:left w:val="single" w:sz="4" w:space="0" w:color="auto"/>
              <w:bottom w:val="single" w:sz="4" w:space="0" w:color="auto"/>
              <w:right w:val="single" w:sz="4" w:space="0" w:color="auto"/>
            </w:tcBorders>
            <w:shd w:val="clear" w:color="000000" w:fill="FFFFCC"/>
            <w:hideMark/>
          </w:tcPr>
          <w:p w14:paraId="182F0B08"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012" w:type="dxa"/>
            <w:tcBorders>
              <w:top w:val="single" w:sz="4" w:space="0" w:color="auto"/>
              <w:left w:val="single" w:sz="4" w:space="0" w:color="auto"/>
              <w:bottom w:val="single" w:sz="4" w:space="0" w:color="auto"/>
              <w:right w:val="single" w:sz="4" w:space="0" w:color="auto"/>
            </w:tcBorders>
            <w:shd w:val="clear" w:color="000000" w:fill="FFFFCC"/>
            <w:hideMark/>
          </w:tcPr>
          <w:p w14:paraId="5FC6F5C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r>
      <w:tr w:rsidR="00C14E69" w:rsidRPr="00834DA6" w14:paraId="279C50F2" w14:textId="77777777" w:rsidTr="004E2A1D">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tcPr>
          <w:p w14:paraId="44B296E0"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Application volume</w:t>
            </w:r>
          </w:p>
        </w:tc>
        <w:tc>
          <w:tcPr>
            <w:tcW w:w="850" w:type="dxa"/>
            <w:tcBorders>
              <w:top w:val="single" w:sz="4" w:space="0" w:color="auto"/>
              <w:left w:val="single" w:sz="4" w:space="0" w:color="auto"/>
              <w:bottom w:val="single" w:sz="4" w:space="0" w:color="auto"/>
              <w:right w:val="single" w:sz="4" w:space="0" w:color="auto"/>
            </w:tcBorders>
            <w:shd w:val="clear" w:color="000000" w:fill="FFFFCC"/>
          </w:tcPr>
          <w:p w14:paraId="1252E2EC" w14:textId="77777777" w:rsidR="00BC02B9" w:rsidRPr="000C23F1" w:rsidRDefault="00BC02B9">
            <w:pPr>
              <w:jc w:val="center"/>
              <w:rPr>
                <w:rFonts w:ascii="Arial" w:eastAsia="Times New Roman" w:hAnsi="Arial" w:cs="Arial"/>
                <w:color w:val="000000"/>
                <w:sz w:val="20"/>
                <w:szCs w:val="20"/>
                <w:lang w:val="en-GB" w:eastAsia="nb-NO"/>
              </w:rPr>
            </w:pPr>
          </w:p>
        </w:tc>
        <w:tc>
          <w:tcPr>
            <w:tcW w:w="945" w:type="dxa"/>
            <w:tcBorders>
              <w:top w:val="single" w:sz="4" w:space="0" w:color="auto"/>
              <w:left w:val="single" w:sz="4" w:space="0" w:color="auto"/>
              <w:bottom w:val="single" w:sz="4" w:space="0" w:color="auto"/>
              <w:right w:val="single" w:sz="4" w:space="0" w:color="auto"/>
            </w:tcBorders>
            <w:shd w:val="clear" w:color="000000" w:fill="FFFFCC"/>
          </w:tcPr>
          <w:p w14:paraId="10D83F85" w14:textId="77777777" w:rsidR="00BC02B9" w:rsidRPr="00834DA6" w:rsidRDefault="00BC02B9">
            <w:pPr>
              <w:jc w:val="center"/>
              <w:rPr>
                <w:rFonts w:ascii="Arial" w:eastAsia="Times New Roman" w:hAnsi="Arial" w:cs="Arial"/>
                <w:color w:val="000000"/>
                <w:sz w:val="20"/>
                <w:szCs w:val="20"/>
                <w:lang w:val="en-GB" w:eastAsia="nb-NO"/>
              </w:rPr>
            </w:pPr>
          </w:p>
        </w:tc>
        <w:tc>
          <w:tcPr>
            <w:tcW w:w="939" w:type="dxa"/>
            <w:tcBorders>
              <w:top w:val="single" w:sz="4" w:space="0" w:color="auto"/>
              <w:left w:val="single" w:sz="4" w:space="0" w:color="auto"/>
              <w:bottom w:val="single" w:sz="4" w:space="0" w:color="auto"/>
              <w:right w:val="single" w:sz="4" w:space="0" w:color="auto"/>
            </w:tcBorders>
            <w:shd w:val="clear" w:color="000000" w:fill="FFFFCC"/>
          </w:tcPr>
          <w:p w14:paraId="5309853E" w14:textId="77777777" w:rsidR="00BC02B9" w:rsidRPr="00834DA6" w:rsidRDefault="00BC02B9">
            <w:pPr>
              <w:jc w:val="center"/>
              <w:rPr>
                <w:rFonts w:ascii="Arial" w:eastAsia="Times New Roman" w:hAnsi="Arial" w:cs="Arial"/>
                <w:color w:val="000000"/>
                <w:sz w:val="20"/>
                <w:szCs w:val="20"/>
                <w:lang w:val="en-GB" w:eastAsia="nb-NO"/>
              </w:rPr>
            </w:pPr>
          </w:p>
        </w:tc>
        <w:tc>
          <w:tcPr>
            <w:tcW w:w="951" w:type="dxa"/>
            <w:tcBorders>
              <w:top w:val="single" w:sz="4" w:space="0" w:color="auto"/>
              <w:left w:val="single" w:sz="4" w:space="0" w:color="auto"/>
              <w:bottom w:val="single" w:sz="4" w:space="0" w:color="auto"/>
              <w:right w:val="single" w:sz="4" w:space="0" w:color="auto"/>
            </w:tcBorders>
            <w:shd w:val="clear" w:color="000000" w:fill="FFFFCC"/>
          </w:tcPr>
          <w:p w14:paraId="2F4970A5" w14:textId="77777777" w:rsidR="00BC02B9" w:rsidRPr="00834DA6" w:rsidRDefault="00BC02B9">
            <w:pPr>
              <w:jc w:val="center"/>
              <w:rPr>
                <w:rFonts w:ascii="Arial" w:eastAsia="Times New Roman" w:hAnsi="Arial" w:cs="Arial"/>
                <w:color w:val="000000"/>
                <w:sz w:val="20"/>
                <w:szCs w:val="20"/>
                <w:lang w:val="en-GB" w:eastAsia="nb-NO"/>
              </w:rPr>
            </w:pPr>
          </w:p>
        </w:tc>
        <w:tc>
          <w:tcPr>
            <w:tcW w:w="1245" w:type="dxa"/>
            <w:tcBorders>
              <w:top w:val="single" w:sz="4" w:space="0" w:color="auto"/>
              <w:left w:val="single" w:sz="4" w:space="0" w:color="auto"/>
              <w:bottom w:val="single" w:sz="4" w:space="0" w:color="auto"/>
              <w:right w:val="single" w:sz="4" w:space="0" w:color="auto"/>
            </w:tcBorders>
            <w:shd w:val="clear" w:color="000000" w:fill="FFFFCC"/>
          </w:tcPr>
          <w:p w14:paraId="2F732A9B" w14:textId="77777777" w:rsidR="00BC02B9" w:rsidRPr="00834DA6" w:rsidRDefault="00BC02B9">
            <w:pPr>
              <w:jc w:val="center"/>
              <w:rPr>
                <w:rFonts w:ascii="Arial" w:eastAsia="Times New Roman" w:hAnsi="Arial" w:cs="Arial"/>
                <w:color w:val="000000"/>
                <w:sz w:val="20"/>
                <w:szCs w:val="20"/>
                <w:lang w:val="en-GB" w:eastAsia="nb-NO"/>
              </w:rPr>
            </w:pPr>
          </w:p>
        </w:tc>
        <w:tc>
          <w:tcPr>
            <w:tcW w:w="871" w:type="dxa"/>
            <w:tcBorders>
              <w:top w:val="single" w:sz="4" w:space="0" w:color="auto"/>
              <w:left w:val="single" w:sz="4" w:space="0" w:color="auto"/>
              <w:bottom w:val="single" w:sz="4" w:space="0" w:color="auto"/>
              <w:right w:val="single" w:sz="4" w:space="0" w:color="auto"/>
            </w:tcBorders>
            <w:shd w:val="clear" w:color="000000" w:fill="FFFFCC"/>
          </w:tcPr>
          <w:p w14:paraId="70364CC7" w14:textId="77777777" w:rsidR="00BC02B9" w:rsidRPr="00834DA6" w:rsidRDefault="00BC02B9">
            <w:pPr>
              <w:jc w:val="center"/>
              <w:rPr>
                <w:rFonts w:ascii="Arial" w:eastAsia="Times New Roman" w:hAnsi="Arial" w:cs="Arial"/>
                <w:color w:val="000000"/>
                <w:sz w:val="20"/>
                <w:szCs w:val="20"/>
                <w:lang w:val="en-GB" w:eastAsia="nb-NO"/>
              </w:rPr>
            </w:pPr>
          </w:p>
        </w:tc>
        <w:tc>
          <w:tcPr>
            <w:tcW w:w="983" w:type="dxa"/>
            <w:tcBorders>
              <w:top w:val="single" w:sz="4" w:space="0" w:color="auto"/>
              <w:left w:val="single" w:sz="4" w:space="0" w:color="auto"/>
              <w:bottom w:val="single" w:sz="4" w:space="0" w:color="auto"/>
              <w:right w:val="single" w:sz="4" w:space="0" w:color="auto"/>
            </w:tcBorders>
            <w:shd w:val="clear" w:color="000000" w:fill="FFFFCC"/>
          </w:tcPr>
          <w:p w14:paraId="6E2C71A4" w14:textId="77777777" w:rsidR="00BC02B9" w:rsidRPr="00834DA6" w:rsidRDefault="00BC02B9">
            <w:pPr>
              <w:jc w:val="center"/>
              <w:rPr>
                <w:rFonts w:ascii="Arial" w:eastAsia="Times New Roman" w:hAnsi="Arial" w:cs="Arial"/>
                <w:color w:val="000000"/>
                <w:sz w:val="20"/>
                <w:szCs w:val="20"/>
                <w:lang w:val="en-GB" w:eastAsia="nb-NO"/>
              </w:rPr>
            </w:pPr>
          </w:p>
        </w:tc>
        <w:tc>
          <w:tcPr>
            <w:tcW w:w="1012" w:type="dxa"/>
            <w:tcBorders>
              <w:top w:val="single" w:sz="4" w:space="0" w:color="auto"/>
              <w:left w:val="single" w:sz="4" w:space="0" w:color="auto"/>
              <w:bottom w:val="single" w:sz="4" w:space="0" w:color="auto"/>
              <w:right w:val="single" w:sz="4" w:space="0" w:color="auto"/>
            </w:tcBorders>
            <w:shd w:val="clear" w:color="000000" w:fill="FFFFCC"/>
          </w:tcPr>
          <w:p w14:paraId="3A108A74" w14:textId="77777777" w:rsidR="00BC02B9" w:rsidRPr="00834DA6" w:rsidRDefault="00BC02B9">
            <w:pPr>
              <w:jc w:val="center"/>
              <w:rPr>
                <w:rFonts w:ascii="Arial" w:eastAsia="Times New Roman" w:hAnsi="Arial" w:cs="Arial"/>
                <w:color w:val="000000"/>
                <w:sz w:val="20"/>
                <w:szCs w:val="20"/>
                <w:lang w:val="en-GB" w:eastAsia="nb-NO"/>
              </w:rPr>
            </w:pPr>
          </w:p>
        </w:tc>
      </w:tr>
    </w:tbl>
    <w:p w14:paraId="32DA0E5C" w14:textId="77777777" w:rsidR="00BC02B9" w:rsidRPr="0073617C" w:rsidRDefault="00BC02B9" w:rsidP="00BC02B9">
      <w:pPr>
        <w:pStyle w:val="Brdtekst"/>
        <w:rPr>
          <w:color w:val="FF0000"/>
          <w:lang w:val="en-GB"/>
        </w:rPr>
      </w:pPr>
    </w:p>
    <w:p w14:paraId="3234CED6" w14:textId="77777777" w:rsidR="004964CD" w:rsidRDefault="00BC02B9" w:rsidP="00BC02B9">
      <w:pPr>
        <w:pStyle w:val="Brdtekst"/>
        <w:rPr>
          <w:lang w:val="en-GB"/>
        </w:rPr>
      </w:pPr>
      <w:r w:rsidRPr="000C23F1">
        <w:rPr>
          <w:lang w:val="en-GB"/>
        </w:rPr>
        <w:t xml:space="preserve">The figures listed in </w:t>
      </w:r>
      <w:r w:rsidR="006B017F">
        <w:rPr>
          <w:lang w:val="en-GB"/>
        </w:rPr>
        <w:t>t</w:t>
      </w:r>
      <w:r w:rsidRPr="000C23F1">
        <w:rPr>
          <w:lang w:val="en-GB"/>
        </w:rPr>
        <w:t xml:space="preserve">able 1 apply from the </w:t>
      </w:r>
      <w:r>
        <w:rPr>
          <w:lang w:val="en-GB"/>
        </w:rPr>
        <w:t>planned</w:t>
      </w:r>
      <w:r w:rsidRPr="000C23F1">
        <w:rPr>
          <w:lang w:val="en-GB"/>
        </w:rPr>
        <w:t xml:space="preserve"> start-up date (which shall be stated). Figures in the application shall be stated with three decimals.</w:t>
      </w:r>
    </w:p>
    <w:p w14:paraId="3EF941C4" w14:textId="77777777" w:rsidR="004964CD" w:rsidRDefault="004964CD" w:rsidP="00BC02B9">
      <w:pPr>
        <w:pStyle w:val="Brdtekst"/>
        <w:rPr>
          <w:lang w:val="en-GB"/>
        </w:rPr>
      </w:pPr>
    </w:p>
    <w:p w14:paraId="7265ACF8" w14:textId="7B5CDAFC" w:rsidR="00BC02B9" w:rsidRPr="000C23F1" w:rsidRDefault="00BC02B9" w:rsidP="00BC02B9">
      <w:pPr>
        <w:pStyle w:val="Brdtekst"/>
        <w:rPr>
          <w:lang w:val="en-GB"/>
        </w:rPr>
      </w:pPr>
    </w:p>
    <w:p w14:paraId="41A9A639" w14:textId="04FB9B0C" w:rsidR="00BC02B9" w:rsidRPr="000C23F1" w:rsidRDefault="00BC02B9" w:rsidP="00D32207">
      <w:pPr>
        <w:pStyle w:val="Overskrift2"/>
        <w:numPr>
          <w:ilvl w:val="1"/>
          <w:numId w:val="4"/>
        </w:numPr>
        <w:spacing w:before="120" w:after="120"/>
        <w:rPr>
          <w:lang w:val="en-GB"/>
        </w:rPr>
      </w:pPr>
      <w:bookmarkStart w:id="47" w:name="_Toc138670743"/>
      <w:bookmarkStart w:id="48" w:name="_Toc200454820"/>
      <w:r w:rsidRPr="000C23F1">
        <w:rPr>
          <w:lang w:val="en-GB"/>
        </w:rPr>
        <w:t xml:space="preserve">Flaring and </w:t>
      </w:r>
      <w:proofErr w:type="gramStart"/>
      <w:r w:rsidR="00435964">
        <w:rPr>
          <w:lang w:val="en-GB"/>
        </w:rPr>
        <w:t>C</w:t>
      </w:r>
      <w:r w:rsidRPr="000C23F1">
        <w:rPr>
          <w:lang w:val="en-GB"/>
        </w:rPr>
        <w:t>old-venting</w:t>
      </w:r>
      <w:bookmarkEnd w:id="47"/>
      <w:bookmarkEnd w:id="48"/>
      <w:proofErr w:type="gramEnd"/>
    </w:p>
    <w:p w14:paraId="245AA390" w14:textId="2D2C7AA4" w:rsidR="00BC02B9" w:rsidRPr="00834DA6" w:rsidRDefault="00BC02B9" w:rsidP="00BC02B9">
      <w:pPr>
        <w:pStyle w:val="Brdtekst"/>
        <w:rPr>
          <w:lang w:val="en-GB"/>
        </w:rPr>
      </w:pPr>
      <w:bookmarkStart w:id="49" w:name="_Hlk34401804"/>
      <w:r w:rsidRPr="0073617C">
        <w:rPr>
          <w:lang w:val="en-GB"/>
        </w:rPr>
        <w:t xml:space="preserve">Adequate documentation </w:t>
      </w:r>
      <w:r w:rsidRPr="000C23F1">
        <w:rPr>
          <w:lang w:val="en-GB"/>
        </w:rPr>
        <w:t xml:space="preserve">shall be available as a basis for assessing applications for flaring and </w:t>
      </w:r>
      <w:proofErr w:type="gramStart"/>
      <w:r w:rsidRPr="000C23F1">
        <w:rPr>
          <w:lang w:val="en-GB"/>
        </w:rPr>
        <w:t>cold-venting</w:t>
      </w:r>
      <w:proofErr w:type="gramEnd"/>
      <w:r w:rsidRPr="000C23F1">
        <w:rPr>
          <w:lang w:val="en-GB"/>
        </w:rPr>
        <w:t xml:space="preserve">. Applicants who choose not to submit a status report before production start-up </w:t>
      </w:r>
      <w:r w:rsidRPr="00F62C19">
        <w:rPr>
          <w:lang w:val="en-GB"/>
        </w:rPr>
        <w:t xml:space="preserve">shall enclose additional information equivalent to that in a status report. </w:t>
      </w:r>
      <w:bookmarkStart w:id="50" w:name="_Hlk43204628"/>
      <w:r w:rsidRPr="00F62C19">
        <w:rPr>
          <w:lang w:val="en-GB"/>
        </w:rPr>
        <w:t xml:space="preserve">The authorities will </w:t>
      </w:r>
      <w:r w:rsidRPr="00834DA6">
        <w:rPr>
          <w:lang w:val="en-GB"/>
        </w:rPr>
        <w:t xml:space="preserve">also base their assessment on the operator's </w:t>
      </w:r>
      <w:r w:rsidR="007C5476">
        <w:rPr>
          <w:lang w:val="en-GB"/>
        </w:rPr>
        <w:t>procedures</w:t>
      </w:r>
      <w:r w:rsidR="007C5476" w:rsidRPr="007E4F20">
        <w:rPr>
          <w:lang w:val="en-GB"/>
        </w:rPr>
        <w:t xml:space="preserve"> </w:t>
      </w:r>
      <w:r w:rsidRPr="00834DA6">
        <w:rPr>
          <w:lang w:val="en-GB"/>
        </w:rPr>
        <w:t xml:space="preserve">for flaring and </w:t>
      </w:r>
      <w:proofErr w:type="gramStart"/>
      <w:r w:rsidRPr="00834DA6">
        <w:rPr>
          <w:lang w:val="en-GB"/>
        </w:rPr>
        <w:t>cold-venting</w:t>
      </w:r>
      <w:proofErr w:type="gramEnd"/>
      <w:r w:rsidRPr="00834DA6">
        <w:rPr>
          <w:lang w:val="en-GB"/>
        </w:rPr>
        <w:t xml:space="preserve"> for the specific facility. Please enclose the </w:t>
      </w:r>
      <w:r w:rsidR="00D02581">
        <w:rPr>
          <w:lang w:val="en-GB"/>
        </w:rPr>
        <w:t>procedures</w:t>
      </w:r>
      <w:r w:rsidR="00D02581" w:rsidRPr="007E4F20">
        <w:rPr>
          <w:lang w:val="en-GB"/>
        </w:rPr>
        <w:t xml:space="preserve"> </w:t>
      </w:r>
      <w:r w:rsidRPr="00834DA6">
        <w:rPr>
          <w:lang w:val="en-GB"/>
        </w:rPr>
        <w:t>with the application.</w:t>
      </w:r>
    </w:p>
    <w:p w14:paraId="44419065" w14:textId="77777777" w:rsidR="00BC02B9" w:rsidRPr="00F62C19" w:rsidRDefault="00BC02B9" w:rsidP="00BC02B9">
      <w:pPr>
        <w:pStyle w:val="Brdtekst"/>
        <w:rPr>
          <w:lang w:val="en-GB"/>
        </w:rPr>
      </w:pPr>
    </w:p>
    <w:p w14:paraId="224D5EAA" w14:textId="77777777" w:rsidR="00BC02B9" w:rsidRPr="00F62C19" w:rsidRDefault="00BC02B9" w:rsidP="00BC02B9">
      <w:pPr>
        <w:pStyle w:val="Brdtekst"/>
        <w:rPr>
          <w:lang w:val="en-GB"/>
        </w:rPr>
      </w:pPr>
      <w:r w:rsidRPr="00F62C19">
        <w:rPr>
          <w:lang w:val="en-GB"/>
        </w:rPr>
        <w:lastRenderedPageBreak/>
        <w:t xml:space="preserve">The priority and sequence of activities in connection with production start and early production shall be planned with an aim to prevent flaring and </w:t>
      </w:r>
      <w:proofErr w:type="gramStart"/>
      <w:r w:rsidRPr="00F62C19">
        <w:rPr>
          <w:lang w:val="en-GB"/>
        </w:rPr>
        <w:t>cold-venting</w:t>
      </w:r>
      <w:proofErr w:type="gramEnd"/>
      <w:r w:rsidRPr="00F62C19">
        <w:rPr>
          <w:lang w:val="en-GB"/>
        </w:rPr>
        <w:t xml:space="preserve"> beyond what is necessary for safety reasons under normal operations, cf. </w:t>
      </w:r>
      <w:r>
        <w:rPr>
          <w:lang w:val="en-GB"/>
        </w:rPr>
        <w:t>s</w:t>
      </w:r>
      <w:r w:rsidRPr="00F62C19">
        <w:rPr>
          <w:lang w:val="en-GB"/>
        </w:rPr>
        <w:t>ection 4-4 of the PA.</w:t>
      </w:r>
      <w:bookmarkEnd w:id="50"/>
    </w:p>
    <w:p w14:paraId="0D356FC9" w14:textId="77777777" w:rsidR="00BC02B9" w:rsidRPr="00F62C19" w:rsidRDefault="00BC02B9" w:rsidP="00BC02B9">
      <w:pPr>
        <w:pStyle w:val="Brdtekst"/>
        <w:rPr>
          <w:lang w:val="en-GB"/>
        </w:rPr>
      </w:pPr>
    </w:p>
    <w:p w14:paraId="560E2532" w14:textId="591246DA" w:rsidR="00BC02B9" w:rsidRPr="00F62C19" w:rsidRDefault="00BC02B9" w:rsidP="00BC02B9">
      <w:pPr>
        <w:pStyle w:val="Brdtekst"/>
        <w:rPr>
          <w:lang w:val="en-GB"/>
        </w:rPr>
      </w:pPr>
      <w:r w:rsidRPr="00F62C19">
        <w:rPr>
          <w:lang w:val="en-GB"/>
        </w:rPr>
        <w:t xml:space="preserve">Licensees are </w:t>
      </w:r>
      <w:r>
        <w:rPr>
          <w:lang w:val="en-GB"/>
        </w:rPr>
        <w:t xml:space="preserve">requested </w:t>
      </w:r>
      <w:r w:rsidRPr="00F62C19">
        <w:rPr>
          <w:lang w:val="en-GB"/>
        </w:rPr>
        <w:t xml:space="preserve">to complete </w:t>
      </w:r>
      <w:r w:rsidR="006B017F">
        <w:rPr>
          <w:lang w:val="en-GB"/>
        </w:rPr>
        <w:t>t</w:t>
      </w:r>
      <w:r w:rsidRPr="00F62C19">
        <w:rPr>
          <w:lang w:val="en-GB"/>
        </w:rPr>
        <w:t xml:space="preserve">able 2 and enclose this with the application. The sources of </w:t>
      </w:r>
      <w:proofErr w:type="gramStart"/>
      <w:r w:rsidRPr="00F62C19">
        <w:rPr>
          <w:lang w:val="en-GB"/>
        </w:rPr>
        <w:t>cold-venting</w:t>
      </w:r>
      <w:proofErr w:type="gramEnd"/>
      <w:r w:rsidRPr="00F62C19">
        <w:rPr>
          <w:lang w:val="en-GB"/>
        </w:rPr>
        <w:t xml:space="preserve"> should correspond to sources listed in the EEH (Fugitive Emission and Venting). Application volumes shall be stated as mill. Sm</w:t>
      </w:r>
      <w:r w:rsidRPr="00F62C19">
        <w:rPr>
          <w:vertAlign w:val="superscript"/>
          <w:lang w:val="en-GB"/>
        </w:rPr>
        <w:t>3</w:t>
      </w:r>
      <w:r w:rsidRPr="00F62C19">
        <w:rPr>
          <w:lang w:val="en-GB"/>
        </w:rPr>
        <w:t xml:space="preserve"> per </w:t>
      </w:r>
      <w:r w:rsidR="00B71B6B">
        <w:rPr>
          <w:lang w:val="en-GB"/>
        </w:rPr>
        <w:t>year</w:t>
      </w:r>
      <w:r w:rsidRPr="00F62C19">
        <w:rPr>
          <w:lang w:val="en-GB"/>
        </w:rPr>
        <w:t>.</w:t>
      </w:r>
    </w:p>
    <w:p w14:paraId="14461907" w14:textId="77777777" w:rsidR="00BC02B9" w:rsidRPr="00F62C19" w:rsidRDefault="00BC02B9" w:rsidP="00BC02B9">
      <w:pPr>
        <w:pStyle w:val="Brdtekst"/>
        <w:rPr>
          <w:lang w:val="en-GB"/>
        </w:rPr>
      </w:pPr>
    </w:p>
    <w:p w14:paraId="4FD686C7" w14:textId="3A944517" w:rsidR="00BC02B9" w:rsidRPr="00F62C19" w:rsidRDefault="00BC02B9" w:rsidP="0067087B">
      <w:pPr>
        <w:pStyle w:val="Brdtekst"/>
        <w:rPr>
          <w:b/>
          <w:bCs/>
          <w:lang w:val="en-GB"/>
        </w:rPr>
      </w:pPr>
      <w:r w:rsidRPr="004E2A1D">
        <w:rPr>
          <w:sz w:val="20"/>
          <w:szCs w:val="20"/>
          <w:lang w:val="en-GB"/>
        </w:rPr>
        <w:t xml:space="preserve">Table 2 – Application </w:t>
      </w:r>
      <w:r w:rsidR="0080709F">
        <w:rPr>
          <w:sz w:val="20"/>
          <w:szCs w:val="20"/>
          <w:lang w:val="en-GB"/>
        </w:rPr>
        <w:t>quotas</w:t>
      </w:r>
    </w:p>
    <w:tbl>
      <w:tblPr>
        <w:tblW w:w="0" w:type="auto"/>
        <w:tblCellMar>
          <w:left w:w="70" w:type="dxa"/>
          <w:right w:w="70" w:type="dxa"/>
        </w:tblCellMar>
        <w:tblLook w:val="04A0" w:firstRow="1" w:lastRow="0" w:firstColumn="1" w:lastColumn="0" w:noHBand="0" w:noVBand="1"/>
      </w:tblPr>
      <w:tblGrid>
        <w:gridCol w:w="3724"/>
        <w:gridCol w:w="791"/>
        <w:gridCol w:w="1380"/>
      </w:tblGrid>
      <w:tr w:rsidR="00BC02B9" w:rsidRPr="00834DA6" w14:paraId="0A4ACE9F" w14:textId="77777777" w:rsidTr="00F1275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4DD7" w14:textId="77777777" w:rsidR="00BC02B9" w:rsidRPr="00F62C19" w:rsidRDefault="00BC02B9">
            <w:pPr>
              <w:rPr>
                <w:rFonts w:ascii="Calibri" w:eastAsia="Times New Roman" w:hAnsi="Calibri" w:cs="Calibri"/>
                <w:b/>
                <w:bCs/>
                <w:color w:val="000000"/>
                <w:lang w:val="en-GB" w:eastAsia="nb-NO"/>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A0313B" w14:textId="16CBEDCD" w:rsidR="00BC02B9" w:rsidRPr="00F62C19" w:rsidRDefault="00BC02B9">
            <w:pPr>
              <w:rPr>
                <w:rFonts w:ascii="Calibri" w:eastAsia="Times New Roman" w:hAnsi="Calibri" w:cs="Calibri"/>
                <w:b/>
                <w:bCs/>
                <w:color w:val="000000"/>
                <w:lang w:val="en-GB" w:eastAsia="nb-NO"/>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8D95A7" w14:textId="6F20CD45" w:rsidR="00BC02B9" w:rsidRPr="00F62C19" w:rsidRDefault="00644C11">
            <w:pPr>
              <w:rPr>
                <w:rFonts w:ascii="Calibri" w:eastAsia="Times New Roman" w:hAnsi="Calibri" w:cs="Calibri"/>
                <w:b/>
                <w:bCs/>
                <w:color w:val="000000"/>
                <w:lang w:val="en-GB" w:eastAsia="nb-NO"/>
              </w:rPr>
            </w:pPr>
            <w:r>
              <w:rPr>
                <w:rFonts w:ascii="Calibri" w:eastAsia="Times New Roman" w:hAnsi="Calibri" w:cs="Calibri"/>
                <w:b/>
                <w:bCs/>
                <w:color w:val="000000"/>
                <w:lang w:val="en-GB" w:eastAsia="nb-NO"/>
              </w:rPr>
              <w:t xml:space="preserve">Annual </w:t>
            </w:r>
            <w:r w:rsidR="00F12750">
              <w:rPr>
                <w:rFonts w:ascii="Calibri" w:eastAsia="Times New Roman" w:hAnsi="Calibri" w:cs="Calibri"/>
                <w:b/>
                <w:bCs/>
                <w:color w:val="000000"/>
                <w:lang w:val="en-GB" w:eastAsia="nb-NO"/>
              </w:rPr>
              <w:t>quota</w:t>
            </w:r>
          </w:p>
        </w:tc>
      </w:tr>
      <w:tr w:rsidR="00BC02B9" w:rsidRPr="00F62C19" w14:paraId="580D139D" w14:textId="77777777" w:rsidTr="00F12750">
        <w:trPr>
          <w:trHeight w:val="315"/>
        </w:trPr>
        <w:tc>
          <w:tcPr>
            <w:tcW w:w="0" w:type="auto"/>
            <w:tcBorders>
              <w:top w:val="nil"/>
              <w:left w:val="single" w:sz="4" w:space="0" w:color="auto"/>
              <w:bottom w:val="single" w:sz="8" w:space="0" w:color="auto"/>
              <w:right w:val="single" w:sz="4" w:space="0" w:color="auto"/>
            </w:tcBorders>
            <w:shd w:val="clear" w:color="auto" w:fill="EBF1DE"/>
            <w:hideMark/>
          </w:tcPr>
          <w:p w14:paraId="72E56D6B"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themeColor="text1"/>
                <w:sz w:val="16"/>
                <w:szCs w:val="16"/>
                <w:lang w:val="en-GB" w:eastAsia="nb-NO"/>
              </w:rPr>
              <w:t>Flaring</w:t>
            </w:r>
          </w:p>
        </w:tc>
        <w:tc>
          <w:tcPr>
            <w:tcW w:w="0" w:type="auto"/>
            <w:tcBorders>
              <w:top w:val="nil"/>
              <w:left w:val="nil"/>
              <w:bottom w:val="single" w:sz="4" w:space="0" w:color="auto"/>
              <w:right w:val="single" w:sz="4" w:space="0" w:color="auto"/>
            </w:tcBorders>
            <w:shd w:val="clear" w:color="auto" w:fill="EBF1DE"/>
            <w:noWrap/>
            <w:hideMark/>
          </w:tcPr>
          <w:p w14:paraId="66A3A2E5" w14:textId="586FD1B1" w:rsidR="00BC02B9" w:rsidRPr="000C23F1" w:rsidRDefault="00BC02B9">
            <w:pPr>
              <w:jc w:val="center"/>
              <w:rPr>
                <w:rFonts w:ascii="Arial Narrow" w:eastAsia="Times New Roman" w:hAnsi="Arial Narrow" w:cs="Calibri"/>
                <w:color w:val="000000"/>
                <w:sz w:val="16"/>
                <w:szCs w:val="16"/>
                <w:lang w:val="en-GB" w:eastAsia="nb-NO"/>
              </w:rPr>
            </w:pPr>
            <w:r w:rsidRPr="000C23F1">
              <w:rPr>
                <w:rFonts w:ascii="Arial Narrow" w:eastAsia="Times New Roman" w:hAnsi="Arial Narrow" w:cs="Calibri"/>
                <w:color w:val="000000" w:themeColor="text1"/>
                <w:sz w:val="16"/>
                <w:szCs w:val="16"/>
                <w:lang w:val="en-GB" w:eastAsia="nb-NO"/>
              </w:rPr>
              <w:t>million Sm</w:t>
            </w:r>
            <w:r w:rsidRPr="000C23F1">
              <w:rPr>
                <w:rFonts w:ascii="Arial Narrow" w:eastAsia="Times New Roman" w:hAnsi="Arial Narrow" w:cs="Calibri"/>
                <w:color w:val="000000" w:themeColor="text1"/>
                <w:sz w:val="16"/>
                <w:szCs w:val="16"/>
                <w:vertAlign w:val="superscript"/>
                <w:lang w:val="en-GB" w:eastAsia="nb-NO"/>
              </w:rPr>
              <w:t>3</w:t>
            </w:r>
          </w:p>
        </w:tc>
        <w:tc>
          <w:tcPr>
            <w:tcW w:w="0" w:type="auto"/>
            <w:tcBorders>
              <w:top w:val="nil"/>
              <w:left w:val="nil"/>
              <w:bottom w:val="single" w:sz="4" w:space="0" w:color="auto"/>
              <w:right w:val="single" w:sz="4" w:space="0" w:color="auto"/>
            </w:tcBorders>
            <w:shd w:val="clear" w:color="auto" w:fill="FFFFCC"/>
            <w:noWrap/>
            <w:hideMark/>
          </w:tcPr>
          <w:p w14:paraId="2EAD234E" w14:textId="77777777" w:rsidR="00BC02B9" w:rsidRPr="00AA3ABC" w:rsidRDefault="00BC02B9">
            <w:pPr>
              <w:jc w:val="center"/>
              <w:rPr>
                <w:rFonts w:ascii="Arial Narrow" w:eastAsia="Times New Roman" w:hAnsi="Arial Narrow" w:cs="Calibri"/>
                <w:color w:val="000000"/>
                <w:sz w:val="16"/>
                <w:szCs w:val="16"/>
                <w:lang w:val="en-GB" w:eastAsia="nb-NO"/>
              </w:rPr>
            </w:pPr>
            <w:r w:rsidRPr="00AA3ABC">
              <w:rPr>
                <w:rFonts w:ascii="Arial Narrow" w:eastAsia="Times New Roman" w:hAnsi="Arial Narrow" w:cs="Calibri"/>
                <w:color w:val="000000"/>
                <w:sz w:val="16"/>
                <w:szCs w:val="16"/>
                <w:lang w:val="en-GB" w:eastAsia="nb-NO"/>
              </w:rPr>
              <w:t> </w:t>
            </w:r>
          </w:p>
        </w:tc>
      </w:tr>
      <w:tr w:rsidR="00BC02B9" w:rsidRPr="00F62C19" w14:paraId="2AD9C0BA" w14:textId="77777777" w:rsidTr="00F12750">
        <w:trPr>
          <w:trHeight w:val="300"/>
        </w:trPr>
        <w:tc>
          <w:tcPr>
            <w:tcW w:w="0" w:type="auto"/>
            <w:tcBorders>
              <w:top w:val="single" w:sz="8" w:space="0" w:color="auto"/>
              <w:left w:val="single" w:sz="4" w:space="0" w:color="auto"/>
              <w:bottom w:val="single" w:sz="4" w:space="0" w:color="auto"/>
              <w:right w:val="single" w:sz="4" w:space="0" w:color="auto"/>
            </w:tcBorders>
            <w:shd w:val="clear" w:color="auto" w:fill="EBF1DE"/>
            <w:hideMark/>
          </w:tcPr>
          <w:p w14:paraId="08B6446E" w14:textId="77777777" w:rsidR="00BC02B9" w:rsidRPr="0073617C" w:rsidRDefault="00BC02B9">
            <w:pPr>
              <w:rPr>
                <w:rFonts w:ascii="Arial" w:eastAsia="Times New Roman" w:hAnsi="Arial" w:cs="Arial"/>
                <w:color w:val="000000"/>
                <w:sz w:val="16"/>
                <w:szCs w:val="16"/>
                <w:lang w:val="en-GB" w:eastAsia="nb-NO"/>
              </w:rPr>
            </w:pPr>
            <w:proofErr w:type="gramStart"/>
            <w:r w:rsidRPr="0073617C">
              <w:rPr>
                <w:rFonts w:ascii="Arial" w:eastAsia="Times New Roman" w:hAnsi="Arial" w:cs="Arial"/>
                <w:color w:val="000000" w:themeColor="text1"/>
                <w:sz w:val="16"/>
                <w:szCs w:val="16"/>
                <w:lang w:val="en-GB" w:eastAsia="nb-NO"/>
              </w:rPr>
              <w:t>Cold-venting</w:t>
            </w:r>
            <w:proofErr w:type="gramEnd"/>
            <w:r w:rsidRPr="0073617C">
              <w:rPr>
                <w:rFonts w:ascii="Arial" w:eastAsia="Times New Roman" w:hAnsi="Arial" w:cs="Arial"/>
                <w:color w:val="000000" w:themeColor="text1"/>
                <w:sz w:val="16"/>
                <w:szCs w:val="16"/>
                <w:lang w:val="en-GB" w:eastAsia="nb-NO"/>
              </w:rPr>
              <w:t xml:space="preserve"> (all sources of natural gas emissions)</w:t>
            </w:r>
          </w:p>
        </w:tc>
        <w:tc>
          <w:tcPr>
            <w:tcW w:w="0" w:type="auto"/>
            <w:tcBorders>
              <w:top w:val="nil"/>
              <w:left w:val="nil"/>
              <w:bottom w:val="single" w:sz="4" w:space="0" w:color="auto"/>
              <w:right w:val="single" w:sz="4" w:space="0" w:color="auto"/>
            </w:tcBorders>
            <w:shd w:val="clear" w:color="auto" w:fill="EBF1DE"/>
            <w:noWrap/>
            <w:hideMark/>
          </w:tcPr>
          <w:p w14:paraId="536BF3FF" w14:textId="54CC566E" w:rsidR="00BC02B9" w:rsidRPr="000C23F1" w:rsidRDefault="00BC02B9">
            <w:pPr>
              <w:jc w:val="center"/>
              <w:rPr>
                <w:rFonts w:ascii="Arial Narrow" w:eastAsia="Times New Roman" w:hAnsi="Arial Narrow" w:cs="Calibri"/>
                <w:color w:val="000000"/>
                <w:sz w:val="16"/>
                <w:szCs w:val="16"/>
                <w:lang w:val="en-GB" w:eastAsia="nb-NO"/>
              </w:rPr>
            </w:pPr>
            <w:r w:rsidRPr="000C23F1">
              <w:rPr>
                <w:rFonts w:ascii="Arial Narrow" w:eastAsia="Times New Roman" w:hAnsi="Arial Narrow" w:cs="Calibri"/>
                <w:color w:val="000000" w:themeColor="text1"/>
                <w:sz w:val="16"/>
                <w:szCs w:val="16"/>
                <w:lang w:val="en-GB" w:eastAsia="nb-NO"/>
              </w:rPr>
              <w:t>million Sm</w:t>
            </w:r>
            <w:r w:rsidRPr="000C23F1">
              <w:rPr>
                <w:rFonts w:ascii="Arial Narrow" w:eastAsia="Times New Roman" w:hAnsi="Arial Narrow" w:cs="Calibri"/>
                <w:color w:val="000000" w:themeColor="text1"/>
                <w:sz w:val="16"/>
                <w:szCs w:val="16"/>
                <w:vertAlign w:val="superscript"/>
                <w:lang w:val="en-GB" w:eastAsia="nb-NO"/>
              </w:rPr>
              <w:t>3</w:t>
            </w:r>
          </w:p>
        </w:tc>
        <w:tc>
          <w:tcPr>
            <w:tcW w:w="0" w:type="auto"/>
            <w:tcBorders>
              <w:top w:val="nil"/>
              <w:left w:val="nil"/>
              <w:bottom w:val="single" w:sz="4" w:space="0" w:color="auto"/>
              <w:right w:val="single" w:sz="4" w:space="0" w:color="auto"/>
            </w:tcBorders>
            <w:shd w:val="clear" w:color="auto" w:fill="FFFFCC"/>
            <w:noWrap/>
            <w:hideMark/>
          </w:tcPr>
          <w:p w14:paraId="6F7C54C7" w14:textId="77777777" w:rsidR="00BC02B9" w:rsidRPr="00AA3ABC" w:rsidRDefault="00BC02B9">
            <w:pPr>
              <w:jc w:val="center"/>
              <w:rPr>
                <w:rFonts w:ascii="Arial Narrow" w:eastAsia="Times New Roman" w:hAnsi="Arial Narrow" w:cs="Calibri"/>
                <w:color w:val="000000"/>
                <w:sz w:val="16"/>
                <w:szCs w:val="16"/>
                <w:lang w:val="en-GB" w:eastAsia="nb-NO"/>
              </w:rPr>
            </w:pPr>
            <w:r w:rsidRPr="00AA3ABC">
              <w:rPr>
                <w:rFonts w:ascii="Arial Narrow" w:eastAsia="Times New Roman" w:hAnsi="Arial Narrow" w:cs="Calibri"/>
                <w:color w:val="000000"/>
                <w:sz w:val="16"/>
                <w:szCs w:val="16"/>
                <w:lang w:val="en-GB" w:eastAsia="nb-NO"/>
              </w:rPr>
              <w:t> </w:t>
            </w:r>
          </w:p>
        </w:tc>
      </w:tr>
    </w:tbl>
    <w:p w14:paraId="7EC37356" w14:textId="77777777" w:rsidR="00BC02B9" w:rsidRPr="0073617C" w:rsidRDefault="00BC02B9" w:rsidP="00BC02B9">
      <w:pPr>
        <w:pStyle w:val="Brdtekst"/>
        <w:rPr>
          <w:lang w:val="en-GB"/>
        </w:rPr>
      </w:pPr>
    </w:p>
    <w:p w14:paraId="2B2CAD4B" w14:textId="6D0069A3" w:rsidR="00BC02B9" w:rsidRPr="00F62C19" w:rsidRDefault="00BC02B9" w:rsidP="00BC02B9">
      <w:pPr>
        <w:pStyle w:val="Brdtekst"/>
        <w:rPr>
          <w:lang w:val="en-GB"/>
        </w:rPr>
      </w:pPr>
      <w:r w:rsidRPr="000C23F1">
        <w:rPr>
          <w:lang w:val="en-GB"/>
        </w:rPr>
        <w:t xml:space="preserve">The expected start-up date for flaring and </w:t>
      </w:r>
      <w:proofErr w:type="gramStart"/>
      <w:r w:rsidRPr="000C23F1">
        <w:rPr>
          <w:lang w:val="en-GB"/>
        </w:rPr>
        <w:t>cold-venting</w:t>
      </w:r>
      <w:proofErr w:type="gramEnd"/>
      <w:r w:rsidRPr="000C23F1">
        <w:rPr>
          <w:lang w:val="en-GB"/>
        </w:rPr>
        <w:t xml:space="preserve"> shall be stated in the application. If the application covers multiple facilities, the licensees </w:t>
      </w:r>
      <w:r>
        <w:rPr>
          <w:lang w:val="en-GB"/>
        </w:rPr>
        <w:t xml:space="preserve">are requested </w:t>
      </w:r>
      <w:r w:rsidRPr="000C23F1">
        <w:rPr>
          <w:lang w:val="en-GB"/>
        </w:rPr>
        <w:t xml:space="preserve">to provide information per facility, equivalent to the procedure for annual </w:t>
      </w:r>
      <w:r w:rsidRPr="00F62C19">
        <w:rPr>
          <w:lang w:val="en-GB"/>
        </w:rPr>
        <w:t xml:space="preserve">applications for flaring and </w:t>
      </w:r>
      <w:proofErr w:type="gramStart"/>
      <w:r w:rsidRPr="00F62C19">
        <w:rPr>
          <w:lang w:val="en-GB"/>
        </w:rPr>
        <w:t>cold-venting</w:t>
      </w:r>
      <w:proofErr w:type="gramEnd"/>
      <w:r w:rsidRPr="00F62C19">
        <w:rPr>
          <w:lang w:val="en-GB"/>
        </w:rPr>
        <w:t>.</w:t>
      </w:r>
    </w:p>
    <w:p w14:paraId="6C00E43E" w14:textId="5183C8D6" w:rsidR="00BC02B9" w:rsidRPr="00F62C19" w:rsidRDefault="00BC02B9" w:rsidP="00D32207">
      <w:pPr>
        <w:pStyle w:val="Overskrift1"/>
        <w:numPr>
          <w:ilvl w:val="0"/>
          <w:numId w:val="4"/>
        </w:numPr>
        <w:spacing w:before="600" w:after="120"/>
        <w:rPr>
          <w:lang w:val="en-GB"/>
        </w:rPr>
      </w:pPr>
      <w:bookmarkStart w:id="51" w:name="_Toc138670744"/>
      <w:bookmarkStart w:id="52" w:name="_Toc200454821"/>
      <w:bookmarkEnd w:id="49"/>
      <w:r w:rsidRPr="00F62C19">
        <w:rPr>
          <w:lang w:val="en-GB"/>
        </w:rPr>
        <w:t xml:space="preserve">Annual </w:t>
      </w:r>
      <w:r w:rsidR="00BD628B">
        <w:rPr>
          <w:lang w:val="en-GB"/>
        </w:rPr>
        <w:t>P</w:t>
      </w:r>
      <w:r w:rsidRPr="00F62C19">
        <w:rPr>
          <w:lang w:val="en-GB"/>
        </w:rPr>
        <w:t xml:space="preserve">roduction </w:t>
      </w:r>
      <w:r w:rsidR="00BD628B">
        <w:rPr>
          <w:lang w:val="en-GB"/>
        </w:rPr>
        <w:t>P</w:t>
      </w:r>
      <w:r w:rsidRPr="00F62C19">
        <w:rPr>
          <w:lang w:val="en-GB"/>
        </w:rPr>
        <w:t>ermits</w:t>
      </w:r>
      <w:bookmarkStart w:id="53" w:name="_Toc505781922"/>
      <w:bookmarkStart w:id="54" w:name="_Toc505933193"/>
      <w:bookmarkStart w:id="55" w:name="_Toc505936804"/>
      <w:bookmarkStart w:id="56" w:name="_Toc506202881"/>
      <w:bookmarkEnd w:id="39"/>
      <w:bookmarkEnd w:id="40"/>
      <w:bookmarkEnd w:id="41"/>
      <w:bookmarkEnd w:id="42"/>
      <w:bookmarkEnd w:id="51"/>
      <w:bookmarkEnd w:id="52"/>
      <w:r w:rsidRPr="00F62C19">
        <w:rPr>
          <w:lang w:val="en-GB"/>
        </w:rPr>
        <w:t xml:space="preserve"> </w:t>
      </w:r>
    </w:p>
    <w:p w14:paraId="79412218" w14:textId="77777777" w:rsidR="00BC02B9" w:rsidRPr="00F62C19" w:rsidRDefault="00BC02B9" w:rsidP="00BC02B9">
      <w:pPr>
        <w:ind w:left="-5" w:right="78"/>
        <w:rPr>
          <w:lang w:val="en-GB"/>
        </w:rPr>
      </w:pPr>
      <w:r w:rsidRPr="00F62C19">
        <w:rPr>
          <w:lang w:val="en-GB"/>
        </w:rPr>
        <w:t>Fields in production shall apply for a production and injection permit, as well as a flaring and cold-venting permit. The application deadline is 1</w:t>
      </w:r>
      <w:r w:rsidRPr="004E3324">
        <w:rPr>
          <w:vertAlign w:val="superscript"/>
          <w:lang w:val="en-GB"/>
        </w:rPr>
        <w:t>st</w:t>
      </w:r>
      <w:r>
        <w:rPr>
          <w:lang w:val="en-GB"/>
        </w:rPr>
        <w:t xml:space="preserve"> </w:t>
      </w:r>
      <w:r w:rsidRPr="00F62C19">
        <w:rPr>
          <w:lang w:val="en-GB"/>
        </w:rPr>
        <w:t>November of the current year. The production permit will apply for the upcoming calendar year.</w:t>
      </w:r>
    </w:p>
    <w:p w14:paraId="50DDCB18" w14:textId="77777777" w:rsidR="00121440" w:rsidRDefault="00121440" w:rsidP="00BC02B9">
      <w:pPr>
        <w:ind w:left="-5" w:right="78"/>
        <w:rPr>
          <w:lang w:val="en-GB"/>
        </w:rPr>
      </w:pPr>
    </w:p>
    <w:p w14:paraId="38C2DDBE" w14:textId="1DC699CF" w:rsidR="00121440" w:rsidRPr="00F62C19" w:rsidRDefault="00121440" w:rsidP="00BC02B9">
      <w:pPr>
        <w:ind w:left="-5" w:right="78"/>
        <w:rPr>
          <w:lang w:val="en-GB"/>
        </w:rPr>
      </w:pPr>
      <w:r>
        <w:rPr>
          <w:lang w:val="en-GB"/>
        </w:rPr>
        <w:t xml:space="preserve">Land facilities and non-field installations which needs flaring and or </w:t>
      </w:r>
      <w:proofErr w:type="gramStart"/>
      <w:r>
        <w:rPr>
          <w:lang w:val="en-GB"/>
        </w:rPr>
        <w:t>cold-venting</w:t>
      </w:r>
      <w:proofErr w:type="gramEnd"/>
      <w:r>
        <w:rPr>
          <w:lang w:val="en-GB"/>
        </w:rPr>
        <w:t xml:space="preserve"> shall also apply for a permit</w:t>
      </w:r>
      <w:r w:rsidR="007F0C9D">
        <w:rPr>
          <w:lang w:val="en-GB"/>
        </w:rPr>
        <w:t>.</w:t>
      </w:r>
    </w:p>
    <w:p w14:paraId="52C5F16C" w14:textId="77777777" w:rsidR="00BC02B9" w:rsidRPr="00F62C19" w:rsidRDefault="00BC02B9" w:rsidP="00BC02B9">
      <w:pPr>
        <w:pStyle w:val="Brdtekst"/>
        <w:rPr>
          <w:rStyle w:val="Hyperkobling"/>
          <w:lang w:val="en-GB"/>
        </w:rPr>
      </w:pPr>
    </w:p>
    <w:p w14:paraId="0ECB9C12" w14:textId="0F732843" w:rsidR="00BC02B9" w:rsidRPr="00F62C19" w:rsidRDefault="00BC02B9" w:rsidP="00D32207">
      <w:pPr>
        <w:pStyle w:val="Overskrift2"/>
        <w:numPr>
          <w:ilvl w:val="1"/>
          <w:numId w:val="4"/>
        </w:numPr>
        <w:spacing w:before="120" w:after="120"/>
        <w:rPr>
          <w:lang w:val="en-GB"/>
        </w:rPr>
      </w:pPr>
      <w:bookmarkStart w:id="57" w:name="_Toc170726601"/>
      <w:bookmarkStart w:id="58" w:name="_Toc170820639"/>
      <w:bookmarkStart w:id="59" w:name="_Toc170820663"/>
      <w:bookmarkStart w:id="60" w:name="_Toc173488620"/>
      <w:bookmarkStart w:id="61" w:name="_Toc138670745"/>
      <w:bookmarkStart w:id="62" w:name="_Toc200454822"/>
      <w:bookmarkEnd w:id="57"/>
      <w:bookmarkEnd w:id="58"/>
      <w:bookmarkEnd w:id="59"/>
      <w:bookmarkEnd w:id="60"/>
      <w:r w:rsidRPr="00F62C19">
        <w:rPr>
          <w:lang w:val="en-GB"/>
        </w:rPr>
        <w:t xml:space="preserve">Production and </w:t>
      </w:r>
      <w:r w:rsidR="0042431E">
        <w:rPr>
          <w:lang w:val="en-GB"/>
        </w:rPr>
        <w:t>I</w:t>
      </w:r>
      <w:r w:rsidRPr="00F62C19">
        <w:rPr>
          <w:lang w:val="en-GB"/>
        </w:rPr>
        <w:t>njection</w:t>
      </w:r>
      <w:bookmarkEnd w:id="61"/>
      <w:bookmarkEnd w:id="62"/>
      <w:r w:rsidRPr="00F62C19">
        <w:rPr>
          <w:lang w:val="en-GB"/>
        </w:rPr>
        <w:t xml:space="preserve"> </w:t>
      </w:r>
    </w:p>
    <w:p w14:paraId="342F1E3B" w14:textId="32574169" w:rsidR="00BC02B9" w:rsidRPr="00F62C19" w:rsidRDefault="00BC02B9" w:rsidP="00BC02B9">
      <w:pPr>
        <w:pStyle w:val="Brdtekst"/>
        <w:rPr>
          <w:rStyle w:val="Hyperkobling"/>
          <w:lang w:val="en-GB"/>
        </w:rPr>
      </w:pPr>
      <w:r w:rsidRPr="00F62C19">
        <w:rPr>
          <w:lang w:val="en-GB"/>
        </w:rPr>
        <w:t>The authorities' assessment of the application will be based on the PDO or exemption from PDO in force, the annual status report for fields in production</w:t>
      </w:r>
      <w:r w:rsidRPr="0073617C">
        <w:rPr>
          <w:rStyle w:val="Fotnotereferanse"/>
          <w:lang w:val="en-GB"/>
        </w:rPr>
        <w:footnoteReference w:id="2"/>
      </w:r>
      <w:r w:rsidRPr="0073617C">
        <w:rPr>
          <w:lang w:val="en-GB"/>
        </w:rPr>
        <w:t xml:space="preserve">, reporting for the </w:t>
      </w:r>
      <w:r w:rsidR="00631A3B">
        <w:rPr>
          <w:lang w:val="en-GB"/>
        </w:rPr>
        <w:t>RNB</w:t>
      </w:r>
      <w:r w:rsidR="00631A3B">
        <w:rPr>
          <w:rStyle w:val="Fotnotereferanse"/>
          <w:lang w:val="en-GB"/>
        </w:rPr>
        <w:footnoteReference w:id="3"/>
      </w:r>
      <w:r w:rsidR="00631A3B">
        <w:rPr>
          <w:lang w:val="en-GB"/>
        </w:rPr>
        <w:t xml:space="preserve"> and </w:t>
      </w:r>
      <w:r w:rsidRPr="0073617C">
        <w:rPr>
          <w:lang w:val="en-GB"/>
        </w:rPr>
        <w:t xml:space="preserve">information about actual production, injection, etc. </w:t>
      </w:r>
      <w:r w:rsidRPr="000C23F1">
        <w:rPr>
          <w:lang w:val="en-GB"/>
        </w:rPr>
        <w:t xml:space="preserve">Please refer to the separate </w:t>
      </w:r>
      <w:hyperlink r:id="rId21" w:history="1">
        <w:r w:rsidR="0048073A">
          <w:rPr>
            <w:rStyle w:val="Hyperkobling"/>
            <w:lang w:val="en-GB"/>
          </w:rPr>
          <w:t>guidelines for annual status report</w:t>
        </w:r>
      </w:hyperlink>
      <w:r w:rsidRPr="0073617C">
        <w:rPr>
          <w:lang w:val="en-GB"/>
        </w:rPr>
        <w:t>.</w:t>
      </w:r>
      <w:r w:rsidRPr="000C23F1">
        <w:rPr>
          <w:lang w:val="en-GB"/>
        </w:rPr>
        <w:t xml:space="preserve"> Furthermore, the assessment of the application will be based on information from the authorities' continuous contact with the licensees in the production licenses. </w:t>
      </w:r>
    </w:p>
    <w:p w14:paraId="0EA7800C" w14:textId="77777777" w:rsidR="00BC02B9" w:rsidRPr="00F62C19" w:rsidRDefault="00BC02B9" w:rsidP="00BC02B9">
      <w:pPr>
        <w:pStyle w:val="Brdtekst"/>
        <w:rPr>
          <w:rStyle w:val="Hyperkobling"/>
          <w:lang w:val="en-GB"/>
        </w:rPr>
      </w:pPr>
    </w:p>
    <w:p w14:paraId="0C0ADE1C" w14:textId="6D939821" w:rsidR="005464E3" w:rsidRPr="0087657A" w:rsidRDefault="00BC02B9" w:rsidP="00D266C5">
      <w:pPr>
        <w:spacing w:after="200" w:line="276" w:lineRule="auto"/>
        <w:rPr>
          <w:lang w:val="en-GB"/>
        </w:rPr>
      </w:pPr>
      <w:r w:rsidRPr="00F62C19">
        <w:rPr>
          <w:lang w:val="en-GB"/>
        </w:rPr>
        <w:t xml:space="preserve">Licensees are </w:t>
      </w:r>
      <w:r>
        <w:rPr>
          <w:lang w:val="en-GB"/>
        </w:rPr>
        <w:t>requested</w:t>
      </w:r>
      <w:r w:rsidRPr="00F62C19">
        <w:rPr>
          <w:lang w:val="en-GB"/>
        </w:rPr>
        <w:t xml:space="preserve"> to fill out annual data in </w:t>
      </w:r>
      <w:r w:rsidR="006B017F">
        <w:rPr>
          <w:lang w:val="en-GB"/>
        </w:rPr>
        <w:t>t</w:t>
      </w:r>
      <w:r w:rsidRPr="00F62C19">
        <w:rPr>
          <w:lang w:val="en-GB"/>
        </w:rPr>
        <w:t xml:space="preserve">able 3 and enclose this with the application. Any discrepancies between the volume reported for the RNB and the application volume shall be accounted for in the application. </w:t>
      </w:r>
    </w:p>
    <w:p w14:paraId="440EC6BB" w14:textId="05D69446" w:rsidR="00BC02B9" w:rsidRDefault="00BC02B9" w:rsidP="00BC02B9">
      <w:pPr>
        <w:spacing w:after="200" w:line="276" w:lineRule="auto"/>
        <w:rPr>
          <w:sz w:val="20"/>
          <w:szCs w:val="20"/>
          <w:lang w:val="en-GB"/>
        </w:rPr>
      </w:pPr>
      <w:r w:rsidRPr="004E2A1D">
        <w:rPr>
          <w:sz w:val="20"/>
          <w:szCs w:val="20"/>
          <w:lang w:val="en-GB"/>
        </w:rPr>
        <w:t>Table 3 – Application volumes</w:t>
      </w:r>
    </w:p>
    <w:tbl>
      <w:tblPr>
        <w:tblW w:w="9356" w:type="dxa"/>
        <w:tblCellMar>
          <w:left w:w="70" w:type="dxa"/>
          <w:right w:w="70" w:type="dxa"/>
        </w:tblCellMar>
        <w:tblLook w:val="04A0" w:firstRow="1" w:lastRow="0" w:firstColumn="1" w:lastColumn="0" w:noHBand="0" w:noVBand="1"/>
      </w:tblPr>
      <w:tblGrid>
        <w:gridCol w:w="1560"/>
        <w:gridCol w:w="869"/>
        <w:gridCol w:w="888"/>
        <w:gridCol w:w="936"/>
        <w:gridCol w:w="992"/>
        <w:gridCol w:w="1233"/>
        <w:gridCol w:w="847"/>
        <w:gridCol w:w="1023"/>
        <w:gridCol w:w="1008"/>
      </w:tblGrid>
      <w:tr w:rsidR="00D04A3E" w:rsidRPr="00834DA6" w14:paraId="3D19CC2D" w14:textId="77777777" w:rsidTr="0087657A">
        <w:trPr>
          <w:trHeight w:val="1143"/>
        </w:trPr>
        <w:tc>
          <w:tcPr>
            <w:tcW w:w="1560" w:type="dxa"/>
            <w:tcBorders>
              <w:top w:val="nil"/>
              <w:left w:val="nil"/>
              <w:bottom w:val="nil"/>
              <w:right w:val="nil"/>
            </w:tcBorders>
            <w:shd w:val="clear" w:color="000000" w:fill="FFFFFF"/>
            <w:noWrap/>
            <w:hideMark/>
          </w:tcPr>
          <w:p w14:paraId="19FF2C76" w14:textId="77777777" w:rsidR="00BC02B9" w:rsidRPr="00F62C19" w:rsidRDefault="00BC02B9">
            <w:pPr>
              <w:rPr>
                <w:rFonts w:ascii="Calibri" w:eastAsia="Times New Roman" w:hAnsi="Calibri" w:cs="Calibri"/>
                <w:color w:val="000000"/>
                <w:lang w:val="en-GB" w:eastAsia="nb-NO"/>
              </w:rPr>
            </w:pPr>
            <w:r w:rsidRPr="00F62C19">
              <w:rPr>
                <w:rFonts w:ascii="Calibri" w:eastAsia="Times New Roman" w:hAnsi="Calibri" w:cs="Calibri"/>
                <w:color w:val="000000"/>
                <w:lang w:val="en-GB" w:eastAsia="nb-NO"/>
              </w:rPr>
              <w:t> </w:t>
            </w:r>
          </w:p>
        </w:tc>
        <w:tc>
          <w:tcPr>
            <w:tcW w:w="869" w:type="dxa"/>
            <w:tcBorders>
              <w:top w:val="single" w:sz="4" w:space="0" w:color="auto"/>
              <w:left w:val="single" w:sz="8" w:space="0" w:color="auto"/>
              <w:bottom w:val="single" w:sz="8" w:space="0" w:color="auto"/>
              <w:right w:val="single" w:sz="8" w:space="0" w:color="auto"/>
            </w:tcBorders>
            <w:shd w:val="clear" w:color="000000" w:fill="EBF1DE"/>
            <w:hideMark/>
          </w:tcPr>
          <w:p w14:paraId="6D5963CF"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Water injection </w:t>
            </w:r>
          </w:p>
        </w:tc>
        <w:tc>
          <w:tcPr>
            <w:tcW w:w="888" w:type="dxa"/>
            <w:tcBorders>
              <w:top w:val="single" w:sz="4" w:space="0" w:color="auto"/>
              <w:left w:val="nil"/>
              <w:bottom w:val="single" w:sz="8" w:space="0" w:color="auto"/>
              <w:right w:val="single" w:sz="8" w:space="0" w:color="auto"/>
            </w:tcBorders>
            <w:shd w:val="clear" w:color="000000" w:fill="EBF1DE"/>
            <w:hideMark/>
          </w:tcPr>
          <w:p w14:paraId="1956FE34"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Water production </w:t>
            </w:r>
          </w:p>
        </w:tc>
        <w:tc>
          <w:tcPr>
            <w:tcW w:w="936" w:type="dxa"/>
            <w:tcBorders>
              <w:top w:val="single" w:sz="4" w:space="0" w:color="auto"/>
              <w:left w:val="nil"/>
              <w:bottom w:val="single" w:sz="8" w:space="0" w:color="auto"/>
              <w:right w:val="single" w:sz="8" w:space="0" w:color="auto"/>
            </w:tcBorders>
            <w:shd w:val="clear" w:color="000000" w:fill="EBF1DE"/>
            <w:hideMark/>
          </w:tcPr>
          <w:p w14:paraId="3962CA10"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Gross </w:t>
            </w:r>
          </w:p>
          <w:p w14:paraId="1DEE91F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gas </w:t>
            </w:r>
          </w:p>
          <w:p w14:paraId="6463905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production </w:t>
            </w:r>
          </w:p>
        </w:tc>
        <w:tc>
          <w:tcPr>
            <w:tcW w:w="992" w:type="dxa"/>
            <w:tcBorders>
              <w:top w:val="single" w:sz="4" w:space="0" w:color="auto"/>
              <w:left w:val="nil"/>
              <w:bottom w:val="single" w:sz="8" w:space="0" w:color="auto"/>
              <w:right w:val="single" w:sz="8" w:space="0" w:color="auto"/>
            </w:tcBorders>
            <w:shd w:val="clear" w:color="000000" w:fill="EBF1DE"/>
            <w:hideMark/>
          </w:tcPr>
          <w:p w14:paraId="5AA650D8"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Gas injection</w:t>
            </w:r>
            <w:r w:rsidRPr="00F62C19">
              <w:rPr>
                <w:rFonts w:ascii="Arial" w:eastAsia="Times New Roman" w:hAnsi="Arial" w:cs="Arial"/>
                <w:color w:val="000000"/>
                <w:sz w:val="16"/>
                <w:szCs w:val="16"/>
                <w:lang w:val="en-GB" w:eastAsia="nb-NO"/>
              </w:rPr>
              <w:br/>
              <w:t>in own field, excl. gas lift</w:t>
            </w:r>
          </w:p>
        </w:tc>
        <w:tc>
          <w:tcPr>
            <w:tcW w:w="1233" w:type="dxa"/>
            <w:tcBorders>
              <w:top w:val="single" w:sz="4" w:space="0" w:color="auto"/>
              <w:left w:val="nil"/>
              <w:bottom w:val="single" w:sz="8" w:space="0" w:color="auto"/>
              <w:right w:val="single" w:sz="8" w:space="0" w:color="auto"/>
            </w:tcBorders>
            <w:shd w:val="clear" w:color="000000" w:fill="EBF1DE"/>
            <w:hideMark/>
          </w:tcPr>
          <w:p w14:paraId="3978617C"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Annual sale of </w:t>
            </w:r>
            <w:r w:rsidRPr="00F62C19">
              <w:rPr>
                <w:rFonts w:ascii="Arial" w:eastAsia="Times New Roman" w:hAnsi="Arial" w:cs="Arial"/>
                <w:color w:val="000000"/>
                <w:sz w:val="16"/>
                <w:szCs w:val="16"/>
                <w:lang w:val="en-GB" w:eastAsia="nb-NO"/>
              </w:rPr>
              <w:br/>
              <w:t xml:space="preserve">oil </w:t>
            </w:r>
            <w:r w:rsidRPr="00F62C19">
              <w:rPr>
                <w:rFonts w:ascii="Arial" w:eastAsia="Times New Roman" w:hAnsi="Arial" w:cs="Arial"/>
                <w:color w:val="000000"/>
                <w:sz w:val="16"/>
                <w:szCs w:val="16"/>
                <w:lang w:val="en-GB" w:eastAsia="nb-NO"/>
              </w:rPr>
              <w:br/>
              <w:t>Expected value</w:t>
            </w:r>
          </w:p>
        </w:tc>
        <w:tc>
          <w:tcPr>
            <w:tcW w:w="847" w:type="dxa"/>
            <w:tcBorders>
              <w:top w:val="single" w:sz="4" w:space="0" w:color="auto"/>
              <w:left w:val="nil"/>
              <w:bottom w:val="single" w:sz="8" w:space="0" w:color="auto"/>
              <w:right w:val="single" w:sz="8" w:space="0" w:color="auto"/>
            </w:tcBorders>
            <w:shd w:val="clear" w:color="000000" w:fill="EBF1DE"/>
            <w:hideMark/>
          </w:tcPr>
          <w:p w14:paraId="5A40A4EB"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Sale of gas per calendar year  </w:t>
            </w:r>
            <w:r w:rsidRPr="00F62C19">
              <w:rPr>
                <w:rFonts w:ascii="Arial" w:eastAsia="Times New Roman" w:hAnsi="Arial" w:cs="Arial"/>
                <w:color w:val="000000"/>
                <w:sz w:val="16"/>
                <w:szCs w:val="16"/>
                <w:lang w:val="en-GB" w:eastAsia="nb-NO"/>
              </w:rPr>
              <w:br/>
              <w:t>40 MJ/Sm</w:t>
            </w:r>
            <w:r w:rsidRPr="00F62C19">
              <w:rPr>
                <w:rFonts w:ascii="Arial" w:eastAsia="Times New Roman" w:hAnsi="Arial" w:cs="Arial"/>
                <w:color w:val="000000"/>
                <w:sz w:val="16"/>
                <w:szCs w:val="16"/>
                <w:vertAlign w:val="superscript"/>
                <w:lang w:val="en-GB" w:eastAsia="nb-NO"/>
              </w:rPr>
              <w:t>3</w:t>
            </w:r>
          </w:p>
        </w:tc>
        <w:tc>
          <w:tcPr>
            <w:tcW w:w="1023" w:type="dxa"/>
            <w:tcBorders>
              <w:top w:val="single" w:sz="4" w:space="0" w:color="auto"/>
              <w:left w:val="nil"/>
              <w:bottom w:val="single" w:sz="8" w:space="0" w:color="auto"/>
              <w:right w:val="single" w:sz="8" w:space="0" w:color="auto"/>
            </w:tcBorders>
            <w:shd w:val="clear" w:color="000000" w:fill="EBF1DE"/>
            <w:hideMark/>
          </w:tcPr>
          <w:p w14:paraId="7D03A129"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Annual sale of </w:t>
            </w:r>
            <w:r w:rsidRPr="00F62C19">
              <w:rPr>
                <w:rFonts w:ascii="Arial" w:eastAsia="Times New Roman" w:hAnsi="Arial" w:cs="Arial"/>
                <w:color w:val="000000"/>
                <w:sz w:val="16"/>
                <w:szCs w:val="16"/>
                <w:lang w:val="en-GB" w:eastAsia="nb-NO"/>
              </w:rPr>
              <w:br/>
              <w:t>NGL</w:t>
            </w:r>
            <w:r w:rsidRPr="00F62C19">
              <w:rPr>
                <w:rFonts w:ascii="Arial" w:eastAsia="Times New Roman" w:hAnsi="Arial" w:cs="Arial"/>
                <w:color w:val="000000"/>
                <w:sz w:val="16"/>
                <w:szCs w:val="16"/>
                <w:lang w:val="en-GB" w:eastAsia="nb-NO"/>
              </w:rPr>
              <w:br/>
            </w:r>
          </w:p>
        </w:tc>
        <w:tc>
          <w:tcPr>
            <w:tcW w:w="1008" w:type="dxa"/>
            <w:tcBorders>
              <w:top w:val="single" w:sz="4" w:space="0" w:color="auto"/>
              <w:left w:val="nil"/>
              <w:bottom w:val="single" w:sz="8" w:space="0" w:color="auto"/>
              <w:right w:val="single" w:sz="8" w:space="0" w:color="auto"/>
            </w:tcBorders>
            <w:shd w:val="clear" w:color="000000" w:fill="EBF1DE"/>
            <w:hideMark/>
          </w:tcPr>
          <w:p w14:paraId="0F4AA147"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Annual sale of condensate</w:t>
            </w:r>
            <w:r w:rsidRPr="00F62C19">
              <w:rPr>
                <w:rFonts w:ascii="Arial" w:eastAsia="Times New Roman" w:hAnsi="Arial" w:cs="Arial"/>
                <w:color w:val="000000"/>
                <w:sz w:val="16"/>
                <w:szCs w:val="16"/>
                <w:lang w:val="en-GB" w:eastAsia="nb-NO"/>
              </w:rPr>
              <w:br/>
            </w:r>
          </w:p>
        </w:tc>
      </w:tr>
      <w:tr w:rsidR="00D04A3E" w:rsidRPr="00834DA6" w14:paraId="242FFDA6" w14:textId="77777777" w:rsidTr="00D04A3E">
        <w:trPr>
          <w:trHeight w:val="315"/>
        </w:trPr>
        <w:tc>
          <w:tcPr>
            <w:tcW w:w="1560" w:type="dxa"/>
            <w:tcBorders>
              <w:top w:val="nil"/>
              <w:left w:val="nil"/>
              <w:bottom w:val="nil"/>
              <w:right w:val="nil"/>
            </w:tcBorders>
            <w:shd w:val="clear" w:color="000000" w:fill="FFFFFF"/>
            <w:noWrap/>
            <w:vAlign w:val="bottom"/>
            <w:hideMark/>
          </w:tcPr>
          <w:p w14:paraId="21BABAB5" w14:textId="77777777" w:rsidR="00BC02B9" w:rsidRPr="0073617C" w:rsidRDefault="00BC02B9">
            <w:pPr>
              <w:rPr>
                <w:rFonts w:ascii="Calibri" w:eastAsia="Times New Roman" w:hAnsi="Calibri" w:cs="Calibri"/>
                <w:color w:val="000000"/>
                <w:lang w:val="en-GB" w:eastAsia="nb-NO"/>
              </w:rPr>
            </w:pPr>
            <w:r w:rsidRPr="0073617C">
              <w:rPr>
                <w:rFonts w:ascii="Calibri" w:eastAsia="Times New Roman" w:hAnsi="Calibri" w:cs="Calibri"/>
                <w:color w:val="000000"/>
                <w:lang w:val="en-GB" w:eastAsia="nb-NO"/>
              </w:rPr>
              <w:t> </w:t>
            </w:r>
          </w:p>
        </w:tc>
        <w:tc>
          <w:tcPr>
            <w:tcW w:w="869" w:type="dxa"/>
            <w:tcBorders>
              <w:top w:val="dotted" w:sz="4" w:space="0" w:color="auto"/>
              <w:left w:val="single" w:sz="8" w:space="0" w:color="auto"/>
              <w:bottom w:val="single" w:sz="8" w:space="0" w:color="auto"/>
              <w:right w:val="single" w:sz="8" w:space="0" w:color="auto"/>
            </w:tcBorders>
            <w:shd w:val="clear" w:color="000000" w:fill="FFFFCC"/>
            <w:hideMark/>
          </w:tcPr>
          <w:p w14:paraId="13997BDC" w14:textId="77777777" w:rsidR="00BC02B9" w:rsidRPr="000C23F1" w:rsidRDefault="00BC02B9">
            <w:pPr>
              <w:jc w:val="center"/>
              <w:rPr>
                <w:rFonts w:ascii="Arial" w:eastAsia="Times New Roman" w:hAnsi="Arial" w:cs="Arial"/>
                <w:color w:val="000000"/>
                <w:sz w:val="16"/>
                <w:szCs w:val="16"/>
                <w:lang w:val="en-GB" w:eastAsia="nb-NO"/>
              </w:rPr>
            </w:pPr>
            <w:r w:rsidRPr="000C23F1">
              <w:rPr>
                <w:rFonts w:ascii="Arial" w:eastAsia="Times New Roman" w:hAnsi="Arial" w:cs="Arial"/>
                <w:color w:val="000000"/>
                <w:sz w:val="16"/>
                <w:szCs w:val="16"/>
                <w:lang w:val="en-GB" w:eastAsia="nb-NO"/>
              </w:rPr>
              <w:t>million m</w:t>
            </w:r>
            <w:r w:rsidRPr="000C23F1">
              <w:rPr>
                <w:rFonts w:ascii="Arial" w:eastAsia="Times New Roman" w:hAnsi="Arial" w:cs="Arial"/>
                <w:color w:val="000000"/>
                <w:sz w:val="16"/>
                <w:szCs w:val="16"/>
                <w:vertAlign w:val="superscript"/>
                <w:lang w:val="en-GB" w:eastAsia="nb-NO"/>
              </w:rPr>
              <w:t>3</w:t>
            </w:r>
          </w:p>
        </w:tc>
        <w:tc>
          <w:tcPr>
            <w:tcW w:w="888" w:type="dxa"/>
            <w:tcBorders>
              <w:top w:val="dotted" w:sz="4" w:space="0" w:color="auto"/>
              <w:left w:val="nil"/>
              <w:bottom w:val="single" w:sz="8" w:space="0" w:color="auto"/>
              <w:right w:val="single" w:sz="8" w:space="0" w:color="auto"/>
            </w:tcBorders>
            <w:shd w:val="clear" w:color="000000" w:fill="FFFFCC"/>
            <w:hideMark/>
          </w:tcPr>
          <w:p w14:paraId="0231730E" w14:textId="77777777" w:rsidR="00BC02B9" w:rsidRPr="00AA3ABC" w:rsidRDefault="00BC02B9">
            <w:pPr>
              <w:jc w:val="center"/>
              <w:rPr>
                <w:rFonts w:ascii="Arial" w:eastAsia="Times New Roman" w:hAnsi="Arial" w:cs="Arial"/>
                <w:color w:val="000000"/>
                <w:sz w:val="16"/>
                <w:szCs w:val="16"/>
                <w:lang w:val="en-GB" w:eastAsia="nb-NO"/>
              </w:rPr>
            </w:pPr>
            <w:r w:rsidRPr="00AA3ABC">
              <w:rPr>
                <w:rFonts w:ascii="Arial" w:eastAsia="Times New Roman" w:hAnsi="Arial" w:cs="Arial"/>
                <w:color w:val="000000"/>
                <w:sz w:val="16"/>
                <w:szCs w:val="16"/>
                <w:lang w:val="en-GB" w:eastAsia="nb-NO"/>
              </w:rPr>
              <w:t>million m</w:t>
            </w:r>
            <w:r w:rsidRPr="00AA3ABC">
              <w:rPr>
                <w:rFonts w:ascii="Arial" w:eastAsia="Times New Roman" w:hAnsi="Arial" w:cs="Arial"/>
                <w:color w:val="000000"/>
                <w:sz w:val="16"/>
                <w:szCs w:val="16"/>
                <w:vertAlign w:val="superscript"/>
                <w:lang w:val="en-GB" w:eastAsia="nb-NO"/>
              </w:rPr>
              <w:t>3</w:t>
            </w:r>
          </w:p>
        </w:tc>
        <w:tc>
          <w:tcPr>
            <w:tcW w:w="936" w:type="dxa"/>
            <w:tcBorders>
              <w:top w:val="dotted" w:sz="4" w:space="0" w:color="auto"/>
              <w:left w:val="nil"/>
              <w:bottom w:val="single" w:sz="8" w:space="0" w:color="auto"/>
              <w:right w:val="single" w:sz="8" w:space="0" w:color="auto"/>
            </w:tcBorders>
            <w:shd w:val="clear" w:color="000000" w:fill="FFFFCC"/>
            <w:hideMark/>
          </w:tcPr>
          <w:p w14:paraId="3E17822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billion Sm</w:t>
            </w:r>
            <w:r w:rsidRPr="00F62C19">
              <w:rPr>
                <w:rFonts w:ascii="Arial" w:eastAsia="Times New Roman" w:hAnsi="Arial" w:cs="Arial"/>
                <w:color w:val="000000"/>
                <w:sz w:val="16"/>
                <w:szCs w:val="16"/>
                <w:vertAlign w:val="superscript"/>
                <w:lang w:val="en-GB" w:eastAsia="nb-NO"/>
              </w:rPr>
              <w:t>3</w:t>
            </w:r>
          </w:p>
        </w:tc>
        <w:tc>
          <w:tcPr>
            <w:tcW w:w="992" w:type="dxa"/>
            <w:tcBorders>
              <w:top w:val="dotted" w:sz="4" w:space="0" w:color="auto"/>
              <w:left w:val="nil"/>
              <w:bottom w:val="single" w:sz="8" w:space="0" w:color="auto"/>
              <w:right w:val="single" w:sz="8" w:space="0" w:color="auto"/>
            </w:tcBorders>
            <w:shd w:val="clear" w:color="000000" w:fill="FFFFCC"/>
            <w:hideMark/>
          </w:tcPr>
          <w:p w14:paraId="26E9EAF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billion Sm</w:t>
            </w:r>
            <w:r w:rsidRPr="00F62C19">
              <w:rPr>
                <w:rFonts w:ascii="Arial" w:eastAsia="Times New Roman" w:hAnsi="Arial" w:cs="Arial"/>
                <w:color w:val="000000"/>
                <w:sz w:val="16"/>
                <w:szCs w:val="16"/>
                <w:vertAlign w:val="superscript"/>
                <w:lang w:val="en-GB" w:eastAsia="nb-NO"/>
              </w:rPr>
              <w:t>3</w:t>
            </w:r>
          </w:p>
        </w:tc>
        <w:tc>
          <w:tcPr>
            <w:tcW w:w="1233" w:type="dxa"/>
            <w:tcBorders>
              <w:top w:val="dotted" w:sz="4" w:space="0" w:color="auto"/>
              <w:left w:val="nil"/>
              <w:bottom w:val="single" w:sz="8" w:space="0" w:color="auto"/>
              <w:right w:val="single" w:sz="8" w:space="0" w:color="auto"/>
            </w:tcBorders>
            <w:shd w:val="clear" w:color="000000" w:fill="FFFFCC"/>
            <w:hideMark/>
          </w:tcPr>
          <w:p w14:paraId="76E8D94D"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million Sm</w:t>
            </w:r>
            <w:r w:rsidRPr="00F62C19">
              <w:rPr>
                <w:rFonts w:ascii="Arial" w:eastAsia="Times New Roman" w:hAnsi="Arial" w:cs="Arial"/>
                <w:color w:val="000000"/>
                <w:sz w:val="16"/>
                <w:szCs w:val="16"/>
                <w:vertAlign w:val="superscript"/>
                <w:lang w:val="en-GB" w:eastAsia="nb-NO"/>
              </w:rPr>
              <w:t>3</w:t>
            </w:r>
          </w:p>
        </w:tc>
        <w:tc>
          <w:tcPr>
            <w:tcW w:w="847" w:type="dxa"/>
            <w:tcBorders>
              <w:top w:val="dotted" w:sz="4" w:space="0" w:color="auto"/>
              <w:left w:val="nil"/>
              <w:bottom w:val="single" w:sz="8" w:space="0" w:color="auto"/>
              <w:right w:val="single" w:sz="8" w:space="0" w:color="auto"/>
            </w:tcBorders>
            <w:shd w:val="clear" w:color="000000" w:fill="FFFFCC"/>
            <w:hideMark/>
          </w:tcPr>
          <w:p w14:paraId="5DE566AB"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billion Sm</w:t>
            </w:r>
            <w:r w:rsidRPr="00F62C19">
              <w:rPr>
                <w:rFonts w:ascii="Arial" w:eastAsia="Times New Roman" w:hAnsi="Arial" w:cs="Arial"/>
                <w:color w:val="000000"/>
                <w:sz w:val="16"/>
                <w:szCs w:val="16"/>
                <w:vertAlign w:val="superscript"/>
                <w:lang w:val="en-GB" w:eastAsia="nb-NO"/>
              </w:rPr>
              <w:t>3</w:t>
            </w:r>
          </w:p>
        </w:tc>
        <w:tc>
          <w:tcPr>
            <w:tcW w:w="1023" w:type="dxa"/>
            <w:tcBorders>
              <w:top w:val="dotted" w:sz="4" w:space="0" w:color="auto"/>
              <w:left w:val="nil"/>
              <w:bottom w:val="single" w:sz="8" w:space="0" w:color="auto"/>
              <w:right w:val="single" w:sz="8" w:space="0" w:color="auto"/>
            </w:tcBorders>
            <w:shd w:val="clear" w:color="000000" w:fill="FFFFCC"/>
            <w:hideMark/>
          </w:tcPr>
          <w:p w14:paraId="44A08629"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million tonnes</w:t>
            </w:r>
          </w:p>
        </w:tc>
        <w:tc>
          <w:tcPr>
            <w:tcW w:w="1008" w:type="dxa"/>
            <w:tcBorders>
              <w:top w:val="dotted" w:sz="4" w:space="0" w:color="auto"/>
              <w:left w:val="nil"/>
              <w:bottom w:val="single" w:sz="8" w:space="0" w:color="auto"/>
              <w:right w:val="single" w:sz="8" w:space="0" w:color="auto"/>
            </w:tcBorders>
            <w:shd w:val="clear" w:color="000000" w:fill="FFFFCC"/>
            <w:hideMark/>
          </w:tcPr>
          <w:p w14:paraId="5D47BD24"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million Sm</w:t>
            </w:r>
            <w:r w:rsidRPr="00F62C19">
              <w:rPr>
                <w:rFonts w:ascii="Arial" w:eastAsia="Times New Roman" w:hAnsi="Arial" w:cs="Arial"/>
                <w:color w:val="000000"/>
                <w:sz w:val="16"/>
                <w:szCs w:val="16"/>
                <w:vertAlign w:val="superscript"/>
                <w:lang w:val="en-GB" w:eastAsia="nb-NO"/>
              </w:rPr>
              <w:t>3</w:t>
            </w:r>
          </w:p>
        </w:tc>
      </w:tr>
      <w:tr w:rsidR="00D04A3E" w:rsidRPr="00834DA6" w14:paraId="46204F01" w14:textId="77777777" w:rsidTr="00584B6A">
        <w:trPr>
          <w:trHeight w:val="315"/>
        </w:trPr>
        <w:tc>
          <w:tcPr>
            <w:tcW w:w="1560" w:type="dxa"/>
            <w:tcBorders>
              <w:top w:val="single" w:sz="8" w:space="0" w:color="auto"/>
              <w:left w:val="single" w:sz="8" w:space="0" w:color="auto"/>
              <w:bottom w:val="single" w:sz="4" w:space="0" w:color="auto"/>
              <w:right w:val="single" w:sz="8" w:space="0" w:color="auto"/>
            </w:tcBorders>
            <w:shd w:val="clear" w:color="000000" w:fill="FFFFCC"/>
            <w:hideMark/>
          </w:tcPr>
          <w:p w14:paraId="60228E89"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 xml:space="preserve">RNB </w:t>
            </w:r>
          </w:p>
        </w:tc>
        <w:tc>
          <w:tcPr>
            <w:tcW w:w="869" w:type="dxa"/>
            <w:tcBorders>
              <w:top w:val="nil"/>
              <w:left w:val="nil"/>
              <w:bottom w:val="single" w:sz="4" w:space="0" w:color="auto"/>
              <w:right w:val="single" w:sz="8" w:space="0" w:color="auto"/>
            </w:tcBorders>
            <w:shd w:val="clear" w:color="000000" w:fill="FFFFCC"/>
            <w:hideMark/>
          </w:tcPr>
          <w:p w14:paraId="28C317AE"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888" w:type="dxa"/>
            <w:tcBorders>
              <w:top w:val="nil"/>
              <w:left w:val="nil"/>
              <w:bottom w:val="single" w:sz="4" w:space="0" w:color="auto"/>
              <w:right w:val="single" w:sz="8" w:space="0" w:color="auto"/>
            </w:tcBorders>
            <w:shd w:val="clear" w:color="000000" w:fill="FFFFCC"/>
            <w:hideMark/>
          </w:tcPr>
          <w:p w14:paraId="5F7035FE" w14:textId="77777777" w:rsidR="00BC02B9" w:rsidRPr="00AA3ABC" w:rsidRDefault="00BC02B9">
            <w:pPr>
              <w:jc w:val="center"/>
              <w:rPr>
                <w:rFonts w:ascii="Arial" w:eastAsia="Times New Roman" w:hAnsi="Arial" w:cs="Arial"/>
                <w:color w:val="000000"/>
                <w:sz w:val="20"/>
                <w:szCs w:val="20"/>
                <w:lang w:val="en-GB" w:eastAsia="nb-NO"/>
              </w:rPr>
            </w:pPr>
            <w:r w:rsidRPr="00AA3ABC">
              <w:rPr>
                <w:rFonts w:ascii="Arial" w:eastAsia="Times New Roman" w:hAnsi="Arial" w:cs="Arial"/>
                <w:color w:val="000000"/>
                <w:sz w:val="20"/>
                <w:szCs w:val="20"/>
                <w:lang w:val="en-GB" w:eastAsia="nb-NO"/>
              </w:rPr>
              <w:t> </w:t>
            </w:r>
          </w:p>
        </w:tc>
        <w:tc>
          <w:tcPr>
            <w:tcW w:w="936" w:type="dxa"/>
            <w:tcBorders>
              <w:top w:val="nil"/>
              <w:left w:val="nil"/>
              <w:bottom w:val="single" w:sz="4" w:space="0" w:color="auto"/>
              <w:right w:val="single" w:sz="8" w:space="0" w:color="auto"/>
            </w:tcBorders>
            <w:shd w:val="clear" w:color="000000" w:fill="FFFFCC"/>
            <w:hideMark/>
          </w:tcPr>
          <w:p w14:paraId="6ED42B8F"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992" w:type="dxa"/>
            <w:tcBorders>
              <w:top w:val="nil"/>
              <w:left w:val="nil"/>
              <w:bottom w:val="single" w:sz="4" w:space="0" w:color="auto"/>
              <w:right w:val="single" w:sz="8" w:space="0" w:color="auto"/>
            </w:tcBorders>
            <w:shd w:val="clear" w:color="000000" w:fill="FFFFCC"/>
            <w:hideMark/>
          </w:tcPr>
          <w:p w14:paraId="5C98086E"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233" w:type="dxa"/>
            <w:tcBorders>
              <w:top w:val="nil"/>
              <w:left w:val="nil"/>
              <w:bottom w:val="single" w:sz="4" w:space="0" w:color="auto"/>
              <w:right w:val="single" w:sz="8" w:space="0" w:color="auto"/>
            </w:tcBorders>
            <w:shd w:val="clear" w:color="000000" w:fill="FFFFCC"/>
            <w:hideMark/>
          </w:tcPr>
          <w:p w14:paraId="4F884AFD"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847" w:type="dxa"/>
            <w:tcBorders>
              <w:top w:val="nil"/>
              <w:left w:val="nil"/>
              <w:bottom w:val="single" w:sz="4" w:space="0" w:color="auto"/>
              <w:right w:val="single" w:sz="8" w:space="0" w:color="auto"/>
            </w:tcBorders>
            <w:shd w:val="clear" w:color="000000" w:fill="FFFFCC"/>
            <w:hideMark/>
          </w:tcPr>
          <w:p w14:paraId="3AB19C62"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23" w:type="dxa"/>
            <w:tcBorders>
              <w:top w:val="nil"/>
              <w:left w:val="nil"/>
              <w:bottom w:val="single" w:sz="4" w:space="0" w:color="auto"/>
              <w:right w:val="single" w:sz="8" w:space="0" w:color="auto"/>
            </w:tcBorders>
            <w:shd w:val="clear" w:color="000000" w:fill="FFFFCC"/>
            <w:hideMark/>
          </w:tcPr>
          <w:p w14:paraId="4AC93896"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08" w:type="dxa"/>
            <w:tcBorders>
              <w:top w:val="nil"/>
              <w:left w:val="nil"/>
              <w:bottom w:val="single" w:sz="4" w:space="0" w:color="auto"/>
              <w:right w:val="single" w:sz="8" w:space="0" w:color="auto"/>
            </w:tcBorders>
            <w:shd w:val="clear" w:color="000000" w:fill="FFFFCC"/>
            <w:hideMark/>
          </w:tcPr>
          <w:p w14:paraId="248CBC4B"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r>
      <w:tr w:rsidR="00D04A3E" w:rsidRPr="00834DA6" w14:paraId="4D1725BC" w14:textId="77777777" w:rsidTr="00584B6A">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hideMark/>
          </w:tcPr>
          <w:p w14:paraId="6083B752"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RNB discrepancy</w:t>
            </w:r>
          </w:p>
        </w:tc>
        <w:tc>
          <w:tcPr>
            <w:tcW w:w="869" w:type="dxa"/>
            <w:tcBorders>
              <w:top w:val="single" w:sz="4" w:space="0" w:color="auto"/>
              <w:left w:val="single" w:sz="4" w:space="0" w:color="auto"/>
              <w:bottom w:val="single" w:sz="4" w:space="0" w:color="auto"/>
              <w:right w:val="single" w:sz="4" w:space="0" w:color="auto"/>
            </w:tcBorders>
            <w:shd w:val="clear" w:color="000000" w:fill="FFFFCC"/>
            <w:hideMark/>
          </w:tcPr>
          <w:p w14:paraId="381CBC73"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888" w:type="dxa"/>
            <w:tcBorders>
              <w:top w:val="single" w:sz="4" w:space="0" w:color="auto"/>
              <w:left w:val="single" w:sz="4" w:space="0" w:color="auto"/>
              <w:bottom w:val="single" w:sz="4" w:space="0" w:color="auto"/>
              <w:right w:val="single" w:sz="4" w:space="0" w:color="auto"/>
            </w:tcBorders>
            <w:shd w:val="clear" w:color="000000" w:fill="FFFFCC"/>
            <w:hideMark/>
          </w:tcPr>
          <w:p w14:paraId="417664B0" w14:textId="77777777" w:rsidR="00BC02B9" w:rsidRPr="00AA3ABC" w:rsidRDefault="00BC02B9">
            <w:pPr>
              <w:jc w:val="center"/>
              <w:rPr>
                <w:rFonts w:ascii="Arial" w:eastAsia="Times New Roman" w:hAnsi="Arial" w:cs="Arial"/>
                <w:color w:val="000000"/>
                <w:sz w:val="20"/>
                <w:szCs w:val="20"/>
                <w:lang w:val="en-GB" w:eastAsia="nb-NO"/>
              </w:rPr>
            </w:pPr>
            <w:r w:rsidRPr="00AA3ABC">
              <w:rPr>
                <w:rFonts w:ascii="Arial" w:eastAsia="Times New Roman" w:hAnsi="Arial" w:cs="Arial"/>
                <w:color w:val="000000"/>
                <w:sz w:val="20"/>
                <w:szCs w:val="20"/>
                <w:lang w:val="en-GB" w:eastAsia="nb-NO"/>
              </w:rPr>
              <w:t> </w:t>
            </w:r>
          </w:p>
        </w:tc>
        <w:tc>
          <w:tcPr>
            <w:tcW w:w="936" w:type="dxa"/>
            <w:tcBorders>
              <w:top w:val="single" w:sz="4" w:space="0" w:color="auto"/>
              <w:left w:val="single" w:sz="4" w:space="0" w:color="auto"/>
              <w:bottom w:val="single" w:sz="4" w:space="0" w:color="auto"/>
              <w:right w:val="single" w:sz="4" w:space="0" w:color="auto"/>
            </w:tcBorders>
            <w:shd w:val="clear" w:color="000000" w:fill="FFFFCC"/>
            <w:hideMark/>
          </w:tcPr>
          <w:p w14:paraId="760196C4"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992" w:type="dxa"/>
            <w:tcBorders>
              <w:top w:val="single" w:sz="4" w:space="0" w:color="auto"/>
              <w:left w:val="single" w:sz="4" w:space="0" w:color="auto"/>
              <w:bottom w:val="single" w:sz="4" w:space="0" w:color="auto"/>
              <w:right w:val="single" w:sz="4" w:space="0" w:color="auto"/>
            </w:tcBorders>
            <w:shd w:val="clear" w:color="000000" w:fill="FFFFCC"/>
            <w:hideMark/>
          </w:tcPr>
          <w:p w14:paraId="3601CD72"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233" w:type="dxa"/>
            <w:tcBorders>
              <w:top w:val="single" w:sz="4" w:space="0" w:color="auto"/>
              <w:left w:val="single" w:sz="4" w:space="0" w:color="auto"/>
              <w:bottom w:val="single" w:sz="4" w:space="0" w:color="auto"/>
              <w:right w:val="single" w:sz="4" w:space="0" w:color="auto"/>
            </w:tcBorders>
            <w:shd w:val="clear" w:color="000000" w:fill="FFFFCC"/>
            <w:hideMark/>
          </w:tcPr>
          <w:p w14:paraId="7E336C25"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847" w:type="dxa"/>
            <w:tcBorders>
              <w:top w:val="single" w:sz="4" w:space="0" w:color="auto"/>
              <w:left w:val="single" w:sz="4" w:space="0" w:color="auto"/>
              <w:bottom w:val="single" w:sz="4" w:space="0" w:color="auto"/>
              <w:right w:val="single" w:sz="4" w:space="0" w:color="auto"/>
            </w:tcBorders>
            <w:shd w:val="clear" w:color="000000" w:fill="FFFFCC"/>
            <w:hideMark/>
          </w:tcPr>
          <w:p w14:paraId="15C8D090"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23" w:type="dxa"/>
            <w:tcBorders>
              <w:top w:val="single" w:sz="4" w:space="0" w:color="auto"/>
              <w:left w:val="single" w:sz="4" w:space="0" w:color="auto"/>
              <w:bottom w:val="single" w:sz="4" w:space="0" w:color="auto"/>
              <w:right w:val="single" w:sz="4" w:space="0" w:color="auto"/>
            </w:tcBorders>
            <w:shd w:val="clear" w:color="000000" w:fill="FFFFCC"/>
            <w:hideMark/>
          </w:tcPr>
          <w:p w14:paraId="53F5E75F"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08" w:type="dxa"/>
            <w:tcBorders>
              <w:top w:val="single" w:sz="4" w:space="0" w:color="auto"/>
              <w:left w:val="single" w:sz="4" w:space="0" w:color="auto"/>
              <w:bottom w:val="single" w:sz="4" w:space="0" w:color="auto"/>
              <w:right w:val="single" w:sz="4" w:space="0" w:color="auto"/>
            </w:tcBorders>
            <w:shd w:val="clear" w:color="000000" w:fill="FFFFCC"/>
            <w:hideMark/>
          </w:tcPr>
          <w:p w14:paraId="1BBA1728"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r>
      <w:tr w:rsidR="00D04A3E" w:rsidRPr="00834DA6" w14:paraId="74591DB1" w14:textId="77777777" w:rsidTr="00584B6A">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tcPr>
          <w:p w14:paraId="46CABD5D" w14:textId="4D3123C5" w:rsidR="00BC02B9" w:rsidRPr="000C23F1" w:rsidRDefault="00BC02B9" w:rsidP="004263F7">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 xml:space="preserve">Application </w:t>
            </w:r>
            <w:r w:rsidRPr="000C23F1">
              <w:rPr>
                <w:rFonts w:ascii="Arial" w:eastAsia="Times New Roman" w:hAnsi="Arial" w:cs="Arial"/>
                <w:color w:val="000000"/>
                <w:sz w:val="16"/>
                <w:szCs w:val="16"/>
                <w:lang w:val="en-GB" w:eastAsia="nb-NO"/>
              </w:rPr>
              <w:t>volume</w:t>
            </w:r>
          </w:p>
        </w:tc>
        <w:tc>
          <w:tcPr>
            <w:tcW w:w="869" w:type="dxa"/>
            <w:tcBorders>
              <w:top w:val="single" w:sz="4" w:space="0" w:color="auto"/>
              <w:left w:val="single" w:sz="4" w:space="0" w:color="auto"/>
              <w:bottom w:val="single" w:sz="4" w:space="0" w:color="auto"/>
              <w:right w:val="single" w:sz="4" w:space="0" w:color="auto"/>
            </w:tcBorders>
            <w:shd w:val="clear" w:color="000000" w:fill="FFFFCC"/>
          </w:tcPr>
          <w:p w14:paraId="6ACF6F8D" w14:textId="77777777" w:rsidR="00BC02B9" w:rsidRPr="00AA3ABC" w:rsidRDefault="00BC02B9">
            <w:pPr>
              <w:jc w:val="center"/>
              <w:rPr>
                <w:rFonts w:ascii="Arial" w:eastAsia="Times New Roman" w:hAnsi="Arial" w:cs="Arial"/>
                <w:color w:val="000000"/>
                <w:sz w:val="20"/>
                <w:szCs w:val="20"/>
                <w:lang w:val="en-GB" w:eastAsia="nb-NO"/>
              </w:rPr>
            </w:pPr>
          </w:p>
        </w:tc>
        <w:tc>
          <w:tcPr>
            <w:tcW w:w="888" w:type="dxa"/>
            <w:tcBorders>
              <w:top w:val="single" w:sz="4" w:space="0" w:color="auto"/>
              <w:left w:val="single" w:sz="4" w:space="0" w:color="auto"/>
              <w:bottom w:val="single" w:sz="4" w:space="0" w:color="auto"/>
              <w:right w:val="single" w:sz="4" w:space="0" w:color="auto"/>
            </w:tcBorders>
            <w:shd w:val="clear" w:color="000000" w:fill="FFFFCC"/>
          </w:tcPr>
          <w:p w14:paraId="32F75B1A" w14:textId="77777777" w:rsidR="00BC02B9" w:rsidRPr="00F62C19" w:rsidRDefault="00BC02B9">
            <w:pPr>
              <w:jc w:val="center"/>
              <w:rPr>
                <w:rFonts w:ascii="Arial" w:eastAsia="Times New Roman" w:hAnsi="Arial" w:cs="Arial"/>
                <w:color w:val="000000"/>
                <w:sz w:val="20"/>
                <w:szCs w:val="20"/>
                <w:lang w:val="en-GB" w:eastAsia="nb-NO"/>
              </w:rPr>
            </w:pPr>
          </w:p>
        </w:tc>
        <w:tc>
          <w:tcPr>
            <w:tcW w:w="936" w:type="dxa"/>
            <w:tcBorders>
              <w:top w:val="single" w:sz="4" w:space="0" w:color="auto"/>
              <w:left w:val="single" w:sz="4" w:space="0" w:color="auto"/>
              <w:bottom w:val="single" w:sz="4" w:space="0" w:color="auto"/>
              <w:right w:val="single" w:sz="4" w:space="0" w:color="auto"/>
            </w:tcBorders>
            <w:shd w:val="clear" w:color="000000" w:fill="FFFFCC"/>
          </w:tcPr>
          <w:p w14:paraId="566EB70E" w14:textId="77777777" w:rsidR="00BC02B9" w:rsidRPr="00F62C19" w:rsidRDefault="00BC02B9">
            <w:pPr>
              <w:jc w:val="center"/>
              <w:rPr>
                <w:rFonts w:ascii="Arial" w:eastAsia="Times New Roman" w:hAnsi="Arial" w:cs="Arial"/>
                <w:color w:val="000000"/>
                <w:sz w:val="20"/>
                <w:szCs w:val="20"/>
                <w:lang w:val="en-GB" w:eastAsia="nb-NO"/>
              </w:rPr>
            </w:pPr>
          </w:p>
        </w:tc>
        <w:tc>
          <w:tcPr>
            <w:tcW w:w="992" w:type="dxa"/>
            <w:tcBorders>
              <w:top w:val="single" w:sz="4" w:space="0" w:color="auto"/>
              <w:left w:val="single" w:sz="4" w:space="0" w:color="auto"/>
              <w:bottom w:val="single" w:sz="4" w:space="0" w:color="auto"/>
              <w:right w:val="single" w:sz="4" w:space="0" w:color="auto"/>
            </w:tcBorders>
            <w:shd w:val="clear" w:color="000000" w:fill="FFFFCC"/>
          </w:tcPr>
          <w:p w14:paraId="70718048" w14:textId="77777777" w:rsidR="00BC02B9" w:rsidRPr="00F62C19" w:rsidRDefault="00BC02B9">
            <w:pPr>
              <w:jc w:val="center"/>
              <w:rPr>
                <w:rFonts w:ascii="Arial" w:eastAsia="Times New Roman" w:hAnsi="Arial" w:cs="Arial"/>
                <w:color w:val="000000"/>
                <w:sz w:val="20"/>
                <w:szCs w:val="20"/>
                <w:lang w:val="en-GB" w:eastAsia="nb-NO"/>
              </w:rPr>
            </w:pPr>
          </w:p>
        </w:tc>
        <w:tc>
          <w:tcPr>
            <w:tcW w:w="1233" w:type="dxa"/>
            <w:tcBorders>
              <w:top w:val="single" w:sz="4" w:space="0" w:color="auto"/>
              <w:left w:val="single" w:sz="4" w:space="0" w:color="auto"/>
              <w:bottom w:val="single" w:sz="4" w:space="0" w:color="auto"/>
              <w:right w:val="single" w:sz="4" w:space="0" w:color="auto"/>
            </w:tcBorders>
            <w:shd w:val="clear" w:color="000000" w:fill="FFFFCC"/>
          </w:tcPr>
          <w:p w14:paraId="4D532F16" w14:textId="77777777" w:rsidR="00BC02B9" w:rsidRPr="00F62C19" w:rsidRDefault="00BC02B9">
            <w:pPr>
              <w:jc w:val="center"/>
              <w:rPr>
                <w:rFonts w:ascii="Arial" w:eastAsia="Times New Roman" w:hAnsi="Arial" w:cs="Arial"/>
                <w:color w:val="000000"/>
                <w:sz w:val="20"/>
                <w:szCs w:val="20"/>
                <w:lang w:val="en-GB" w:eastAsia="nb-NO"/>
              </w:rPr>
            </w:pPr>
          </w:p>
        </w:tc>
        <w:tc>
          <w:tcPr>
            <w:tcW w:w="847" w:type="dxa"/>
            <w:tcBorders>
              <w:top w:val="single" w:sz="4" w:space="0" w:color="auto"/>
              <w:left w:val="single" w:sz="4" w:space="0" w:color="auto"/>
              <w:bottom w:val="single" w:sz="4" w:space="0" w:color="auto"/>
              <w:right w:val="single" w:sz="4" w:space="0" w:color="auto"/>
            </w:tcBorders>
            <w:shd w:val="clear" w:color="000000" w:fill="FFFFCC"/>
          </w:tcPr>
          <w:p w14:paraId="0B422C3F" w14:textId="77777777" w:rsidR="00BC02B9" w:rsidRPr="00F62C19" w:rsidRDefault="00BC02B9">
            <w:pPr>
              <w:jc w:val="center"/>
              <w:rPr>
                <w:rFonts w:ascii="Arial" w:eastAsia="Times New Roman" w:hAnsi="Arial" w:cs="Arial"/>
                <w:color w:val="000000"/>
                <w:sz w:val="20"/>
                <w:szCs w:val="20"/>
                <w:lang w:val="en-GB" w:eastAsia="nb-NO"/>
              </w:rPr>
            </w:pPr>
          </w:p>
        </w:tc>
        <w:tc>
          <w:tcPr>
            <w:tcW w:w="1023" w:type="dxa"/>
            <w:tcBorders>
              <w:top w:val="single" w:sz="4" w:space="0" w:color="auto"/>
              <w:left w:val="single" w:sz="4" w:space="0" w:color="auto"/>
              <w:bottom w:val="single" w:sz="4" w:space="0" w:color="auto"/>
              <w:right w:val="single" w:sz="4" w:space="0" w:color="auto"/>
            </w:tcBorders>
            <w:shd w:val="clear" w:color="000000" w:fill="FFFFCC"/>
          </w:tcPr>
          <w:p w14:paraId="04A82AC8" w14:textId="77777777" w:rsidR="00BC02B9" w:rsidRPr="00F62C19" w:rsidRDefault="00BC02B9">
            <w:pPr>
              <w:jc w:val="center"/>
              <w:rPr>
                <w:rFonts w:ascii="Arial" w:eastAsia="Times New Roman" w:hAnsi="Arial" w:cs="Arial"/>
                <w:color w:val="000000"/>
                <w:sz w:val="20"/>
                <w:szCs w:val="20"/>
                <w:lang w:val="en-GB" w:eastAsia="nb-NO"/>
              </w:rPr>
            </w:pPr>
          </w:p>
        </w:tc>
        <w:tc>
          <w:tcPr>
            <w:tcW w:w="1008" w:type="dxa"/>
            <w:tcBorders>
              <w:top w:val="single" w:sz="4" w:space="0" w:color="auto"/>
              <w:left w:val="single" w:sz="4" w:space="0" w:color="auto"/>
              <w:bottom w:val="single" w:sz="4" w:space="0" w:color="auto"/>
              <w:right w:val="single" w:sz="4" w:space="0" w:color="auto"/>
            </w:tcBorders>
            <w:shd w:val="clear" w:color="000000" w:fill="FFFFCC"/>
          </w:tcPr>
          <w:p w14:paraId="427DEF7B" w14:textId="77777777" w:rsidR="00BC02B9" w:rsidRPr="00F62C19" w:rsidRDefault="00BC02B9">
            <w:pPr>
              <w:jc w:val="center"/>
              <w:rPr>
                <w:rFonts w:ascii="Arial" w:eastAsia="Times New Roman" w:hAnsi="Arial" w:cs="Arial"/>
                <w:color w:val="000000"/>
                <w:sz w:val="20"/>
                <w:szCs w:val="20"/>
                <w:lang w:val="en-GB" w:eastAsia="nb-NO"/>
              </w:rPr>
            </w:pPr>
          </w:p>
        </w:tc>
      </w:tr>
    </w:tbl>
    <w:p w14:paraId="19D5119B" w14:textId="77777777" w:rsidR="00BC02B9" w:rsidRPr="0073617C" w:rsidRDefault="00BC02B9" w:rsidP="00BC02B9">
      <w:pPr>
        <w:pStyle w:val="Brdtekst"/>
        <w:rPr>
          <w:lang w:val="en-GB"/>
        </w:rPr>
      </w:pPr>
    </w:p>
    <w:p w14:paraId="1E1115FE" w14:textId="71361906" w:rsidR="00BC02B9" w:rsidRPr="000C23F1" w:rsidRDefault="00BC02B9" w:rsidP="00BC02B9">
      <w:pPr>
        <w:pStyle w:val="Brdtekst"/>
        <w:rPr>
          <w:lang w:val="en-GB"/>
        </w:rPr>
      </w:pPr>
      <w:r w:rsidRPr="000C23F1">
        <w:rPr>
          <w:lang w:val="en-GB"/>
        </w:rPr>
        <w:t xml:space="preserve">Volumes indicated in </w:t>
      </w:r>
      <w:r w:rsidR="006B017F">
        <w:rPr>
          <w:lang w:val="en-GB"/>
        </w:rPr>
        <w:t>t</w:t>
      </w:r>
      <w:r w:rsidRPr="000C23F1">
        <w:rPr>
          <w:lang w:val="en-GB"/>
        </w:rPr>
        <w:t xml:space="preserve">able 3 only apply to the volumes stated in the annual production permits for liquids and gas (the ordinary permits per calendar year). </w:t>
      </w:r>
      <w:r w:rsidRPr="0073617C">
        <w:rPr>
          <w:lang w:val="en-GB"/>
        </w:rPr>
        <w:t>Figures in the application shall</w:t>
      </w:r>
      <w:r w:rsidRPr="000C23F1">
        <w:rPr>
          <w:lang w:val="en-GB"/>
        </w:rPr>
        <w:t xml:space="preserve"> be stated with three decimals. </w:t>
      </w:r>
    </w:p>
    <w:p w14:paraId="10856AF9" w14:textId="77777777" w:rsidR="00BC02B9" w:rsidRPr="000C23F1" w:rsidRDefault="00BC02B9" w:rsidP="00BC02B9">
      <w:pPr>
        <w:pStyle w:val="Brdtekst"/>
        <w:rPr>
          <w:lang w:val="en-GB"/>
        </w:rPr>
      </w:pPr>
    </w:p>
    <w:p w14:paraId="696580B0" w14:textId="436B00ED" w:rsidR="00BC02B9" w:rsidRPr="00F62C19" w:rsidRDefault="00BC02B9" w:rsidP="00BC02B9">
      <w:pPr>
        <w:pStyle w:val="Brdtekst"/>
        <w:rPr>
          <w:lang w:val="en-GB"/>
        </w:rPr>
      </w:pPr>
      <w:r>
        <w:rPr>
          <w:lang w:val="en-GB"/>
        </w:rPr>
        <w:t>F</w:t>
      </w:r>
      <w:r w:rsidRPr="0073617C">
        <w:rPr>
          <w:lang w:val="en-GB"/>
        </w:rPr>
        <w:t xml:space="preserve">ields applying for a special production permit for gas, cf. </w:t>
      </w:r>
      <w:r>
        <w:rPr>
          <w:lang w:val="en-GB"/>
        </w:rPr>
        <w:t>section</w:t>
      </w:r>
      <w:r w:rsidRPr="0073617C">
        <w:rPr>
          <w:lang w:val="en-GB"/>
        </w:rPr>
        <w:t xml:space="preserve"> 5, </w:t>
      </w:r>
      <w:r w:rsidRPr="000C23F1">
        <w:rPr>
          <w:lang w:val="en-GB"/>
        </w:rPr>
        <w:t>shall also by November 1</w:t>
      </w:r>
      <w:r w:rsidRPr="000C23F1">
        <w:rPr>
          <w:vertAlign w:val="superscript"/>
          <w:lang w:val="en-GB"/>
        </w:rPr>
        <w:t>st</w:t>
      </w:r>
      <w:r w:rsidRPr="0073617C">
        <w:rPr>
          <w:lang w:val="en-GB"/>
        </w:rPr>
        <w:t xml:space="preserve"> </w:t>
      </w:r>
      <w:r w:rsidRPr="000C23F1">
        <w:rPr>
          <w:lang w:val="en-GB"/>
        </w:rPr>
        <w:t>apply for a permit for any other production and injection</w:t>
      </w:r>
      <w:r>
        <w:rPr>
          <w:lang w:val="en-GB"/>
        </w:rPr>
        <w:t xml:space="preserve"> (</w:t>
      </w:r>
      <w:r w:rsidR="006B017F">
        <w:rPr>
          <w:lang w:val="en-GB"/>
        </w:rPr>
        <w:t>t</w:t>
      </w:r>
      <w:r>
        <w:rPr>
          <w:lang w:val="en-GB"/>
        </w:rPr>
        <w:t>able 3)</w:t>
      </w:r>
      <w:r w:rsidRPr="000C23F1">
        <w:rPr>
          <w:lang w:val="en-GB"/>
        </w:rPr>
        <w:t xml:space="preserve">, as well as </w:t>
      </w:r>
      <w:r w:rsidRPr="00F62C19">
        <w:rPr>
          <w:lang w:val="en-GB"/>
        </w:rPr>
        <w:t xml:space="preserve">flaring and </w:t>
      </w:r>
      <w:proofErr w:type="gramStart"/>
      <w:r w:rsidRPr="00F62C19">
        <w:rPr>
          <w:lang w:val="en-GB"/>
        </w:rPr>
        <w:t>cold-venting</w:t>
      </w:r>
      <w:proofErr w:type="gramEnd"/>
      <w:r>
        <w:rPr>
          <w:lang w:val="en-GB"/>
        </w:rPr>
        <w:t>.</w:t>
      </w:r>
      <w:r w:rsidRPr="00F62C19">
        <w:rPr>
          <w:lang w:val="en-GB"/>
        </w:rPr>
        <w:t xml:space="preserve"> </w:t>
      </w:r>
      <w:r w:rsidRPr="000C23F1">
        <w:rPr>
          <w:lang w:val="en-GB"/>
        </w:rPr>
        <w:t xml:space="preserve">The volumes covered by/applied for in a separated special production </w:t>
      </w:r>
      <w:r>
        <w:rPr>
          <w:lang w:val="en-GB"/>
        </w:rPr>
        <w:t xml:space="preserve">permit </w:t>
      </w:r>
      <w:r w:rsidRPr="000C23F1">
        <w:rPr>
          <w:lang w:val="en-GB"/>
        </w:rPr>
        <w:t>for gas shall not be stated in this table.</w:t>
      </w:r>
    </w:p>
    <w:p w14:paraId="7606BC8C" w14:textId="77777777" w:rsidR="00BC02B9" w:rsidRPr="00F62C19" w:rsidRDefault="00BC02B9" w:rsidP="00BC02B9">
      <w:pPr>
        <w:pStyle w:val="Brdtekst"/>
        <w:rPr>
          <w:lang w:val="en-GB"/>
        </w:rPr>
      </w:pPr>
    </w:p>
    <w:p w14:paraId="7B7C342D" w14:textId="5A3E51A3" w:rsidR="00BC02B9" w:rsidRPr="000C23F1" w:rsidRDefault="00BC02B9" w:rsidP="00D32207">
      <w:pPr>
        <w:pStyle w:val="Overskrift2"/>
        <w:numPr>
          <w:ilvl w:val="1"/>
          <w:numId w:val="4"/>
        </w:numPr>
        <w:spacing w:before="120" w:after="120"/>
        <w:rPr>
          <w:lang w:val="en-GB"/>
        </w:rPr>
      </w:pPr>
      <w:bookmarkStart w:id="63" w:name="_Toc138670746"/>
      <w:bookmarkStart w:id="64" w:name="_Toc200454823"/>
      <w:r w:rsidRPr="000C23F1">
        <w:rPr>
          <w:lang w:val="en-GB"/>
        </w:rPr>
        <w:t xml:space="preserve">Flaring and </w:t>
      </w:r>
      <w:proofErr w:type="gramStart"/>
      <w:r w:rsidR="001101CB">
        <w:rPr>
          <w:lang w:val="en-GB"/>
        </w:rPr>
        <w:t>C</w:t>
      </w:r>
      <w:r w:rsidRPr="000C23F1">
        <w:rPr>
          <w:lang w:val="en-GB"/>
        </w:rPr>
        <w:t>old-venting</w:t>
      </w:r>
      <w:bookmarkEnd w:id="63"/>
      <w:bookmarkEnd w:id="64"/>
      <w:proofErr w:type="gramEnd"/>
      <w:r w:rsidRPr="000C23F1">
        <w:rPr>
          <w:lang w:val="en-GB"/>
        </w:rPr>
        <w:t xml:space="preserve"> </w:t>
      </w:r>
    </w:p>
    <w:p w14:paraId="66EAA326" w14:textId="11750408" w:rsidR="00BC02B9" w:rsidRPr="007E4F20" w:rsidRDefault="00BC02B9" w:rsidP="00BC02B9">
      <w:pPr>
        <w:rPr>
          <w:lang w:val="en-GB"/>
        </w:rPr>
      </w:pPr>
      <w:r w:rsidRPr="0073617C">
        <w:rPr>
          <w:lang w:val="en-GB"/>
        </w:rPr>
        <w:t>Su</w:t>
      </w:r>
      <w:r w:rsidRPr="000C23F1">
        <w:rPr>
          <w:lang w:val="en-GB"/>
        </w:rPr>
        <w:t>fficient documentation shall be available as a basis for assessing the application, cf</w:t>
      </w:r>
      <w:r>
        <w:rPr>
          <w:lang w:val="en-GB"/>
        </w:rPr>
        <w:t>.</w:t>
      </w:r>
      <w:r w:rsidRPr="000C23F1">
        <w:rPr>
          <w:lang w:val="en-GB"/>
        </w:rPr>
        <w:t xml:space="preserve"> </w:t>
      </w:r>
      <w:r w:rsidR="00CC72BB">
        <w:rPr>
          <w:lang w:val="en-GB"/>
        </w:rPr>
        <w:t>a</w:t>
      </w:r>
      <w:r w:rsidRPr="007E4F20">
        <w:rPr>
          <w:lang w:val="en-GB"/>
        </w:rPr>
        <w:t xml:space="preserve">ppendix 1 – </w:t>
      </w:r>
      <w:r w:rsidR="00593860">
        <w:rPr>
          <w:lang w:val="en-GB"/>
        </w:rPr>
        <w:t>B</w:t>
      </w:r>
      <w:r w:rsidRPr="007E4F20">
        <w:rPr>
          <w:lang w:val="en-GB"/>
        </w:rPr>
        <w:t xml:space="preserve">asis for application for flaring and cold-venting. The authorities will also base their assessment on the operator's </w:t>
      </w:r>
      <w:r w:rsidR="00F40A9B">
        <w:rPr>
          <w:lang w:val="en-GB"/>
        </w:rPr>
        <w:t>pro</w:t>
      </w:r>
      <w:r w:rsidR="00773B95">
        <w:rPr>
          <w:lang w:val="en-GB"/>
        </w:rPr>
        <w:t>cedure</w:t>
      </w:r>
      <w:r w:rsidR="00180836">
        <w:rPr>
          <w:lang w:val="en-GB"/>
        </w:rPr>
        <w:t>s</w:t>
      </w:r>
      <w:r w:rsidR="00F40A9B" w:rsidRPr="007E4F20">
        <w:rPr>
          <w:lang w:val="en-GB"/>
        </w:rPr>
        <w:t xml:space="preserve"> </w:t>
      </w:r>
      <w:r w:rsidRPr="007E4F20">
        <w:rPr>
          <w:lang w:val="en-GB"/>
        </w:rPr>
        <w:t xml:space="preserve">for flaring and </w:t>
      </w:r>
      <w:proofErr w:type="gramStart"/>
      <w:r w:rsidRPr="007E4F20">
        <w:rPr>
          <w:lang w:val="en-GB"/>
        </w:rPr>
        <w:t>cold-venting</w:t>
      </w:r>
      <w:proofErr w:type="gramEnd"/>
      <w:r w:rsidRPr="007E4F20">
        <w:rPr>
          <w:lang w:val="en-GB"/>
        </w:rPr>
        <w:t xml:space="preserve"> for each facility. The operator is requested to enclose the </w:t>
      </w:r>
      <w:r w:rsidR="00773B95" w:rsidRPr="007C5476">
        <w:rPr>
          <w:lang w:val="en-GB"/>
        </w:rPr>
        <w:t>procedure</w:t>
      </w:r>
      <w:r w:rsidR="007C5476" w:rsidRPr="007C5476">
        <w:rPr>
          <w:lang w:val="en-GB"/>
        </w:rPr>
        <w:t>s</w:t>
      </w:r>
      <w:r w:rsidR="00773B95" w:rsidRPr="007E4F20">
        <w:rPr>
          <w:lang w:val="en-GB"/>
        </w:rPr>
        <w:t xml:space="preserve"> </w:t>
      </w:r>
      <w:r w:rsidR="007532C9">
        <w:rPr>
          <w:lang w:val="en-GB"/>
        </w:rPr>
        <w:t>to</w:t>
      </w:r>
      <w:r w:rsidR="007532C9" w:rsidRPr="007E4F20">
        <w:rPr>
          <w:lang w:val="en-GB"/>
        </w:rPr>
        <w:t xml:space="preserve"> </w:t>
      </w:r>
      <w:r w:rsidRPr="007E4F20">
        <w:rPr>
          <w:lang w:val="en-GB"/>
        </w:rPr>
        <w:t xml:space="preserve">the application. </w:t>
      </w:r>
    </w:p>
    <w:p w14:paraId="5281CBEF" w14:textId="77777777" w:rsidR="00BC02B9" w:rsidRPr="007E4F20" w:rsidRDefault="00BC02B9" w:rsidP="00BC02B9">
      <w:pPr>
        <w:rPr>
          <w:lang w:val="en-GB"/>
        </w:rPr>
      </w:pPr>
    </w:p>
    <w:p w14:paraId="5F594FB3" w14:textId="1498EDD8" w:rsidR="009D09A6" w:rsidRDefault="00B22B13" w:rsidP="009D09A6">
      <w:pPr>
        <w:rPr>
          <w:lang w:val="en-GB"/>
        </w:rPr>
      </w:pPr>
      <w:r>
        <w:rPr>
          <w:lang w:val="en-GB"/>
        </w:rPr>
        <w:t xml:space="preserve">The </w:t>
      </w:r>
      <w:r w:rsidR="00FA1810">
        <w:rPr>
          <w:lang w:val="en-GB"/>
        </w:rPr>
        <w:t xml:space="preserve">applied </w:t>
      </w:r>
      <w:r w:rsidR="00BC02B9" w:rsidRPr="007E4F20">
        <w:rPr>
          <w:lang w:val="en-GB"/>
        </w:rPr>
        <w:t>volume</w:t>
      </w:r>
      <w:r w:rsidR="001F15CD">
        <w:rPr>
          <w:lang w:val="en-GB"/>
        </w:rPr>
        <w:t>s</w:t>
      </w:r>
      <w:r w:rsidR="00BC02B9" w:rsidRPr="007E4F20">
        <w:rPr>
          <w:lang w:val="en-GB"/>
        </w:rPr>
        <w:t xml:space="preserve"> </w:t>
      </w:r>
      <w:r w:rsidR="00B735FE">
        <w:rPr>
          <w:lang w:val="en-GB"/>
        </w:rPr>
        <w:t xml:space="preserve">must be stated in </w:t>
      </w:r>
      <w:r w:rsidR="00713A91" w:rsidRPr="00713A91">
        <w:rPr>
          <w:lang w:val="en-US"/>
        </w:rPr>
        <w:t>appendix</w:t>
      </w:r>
      <w:r w:rsidR="00C37713" w:rsidRPr="004E2A1D">
        <w:rPr>
          <w:lang w:val="en-US"/>
        </w:rPr>
        <w:t xml:space="preserve"> 1</w:t>
      </w:r>
      <w:r w:rsidR="00BC02B9" w:rsidRPr="007E4F20">
        <w:rPr>
          <w:lang w:val="en-GB"/>
        </w:rPr>
        <w:t xml:space="preserve">. </w:t>
      </w:r>
      <w:r w:rsidR="00BC02B9">
        <w:rPr>
          <w:lang w:val="en-GB"/>
        </w:rPr>
        <w:t xml:space="preserve">Here the applicant </w:t>
      </w:r>
      <w:r w:rsidR="00BC02B9" w:rsidRPr="007E4F20">
        <w:rPr>
          <w:lang w:val="en-GB"/>
        </w:rPr>
        <w:t>provides projections for: a) normal operations, b) planned maintenance, and c) s</w:t>
      </w:r>
      <w:r w:rsidR="00BC02B9">
        <w:rPr>
          <w:lang w:val="en-GB"/>
        </w:rPr>
        <w:t>hut down</w:t>
      </w:r>
      <w:r w:rsidR="00BC02B9" w:rsidRPr="007E4F20">
        <w:rPr>
          <w:lang w:val="en-GB"/>
        </w:rPr>
        <w:t>/start</w:t>
      </w:r>
      <w:r w:rsidR="00BC02B9">
        <w:rPr>
          <w:lang w:val="en-GB"/>
        </w:rPr>
        <w:t>-</w:t>
      </w:r>
      <w:r w:rsidR="00BC02B9" w:rsidRPr="007E4F20">
        <w:rPr>
          <w:lang w:val="en-GB"/>
        </w:rPr>
        <w:t>up</w:t>
      </w:r>
      <w:r w:rsidR="00BC02B9">
        <w:rPr>
          <w:lang w:val="en-GB"/>
        </w:rPr>
        <w:t xml:space="preserve"> of</w:t>
      </w:r>
      <w:r w:rsidR="00BC02B9" w:rsidRPr="007E4F20">
        <w:rPr>
          <w:lang w:val="en-GB"/>
        </w:rPr>
        <w:t xml:space="preserve"> the process plant in connection with unforeseen incidents. The anticipated number of unforeseen incidents during the period shall be based on</w:t>
      </w:r>
      <w:r w:rsidR="007C6E33">
        <w:rPr>
          <w:lang w:val="en-GB"/>
        </w:rPr>
        <w:t xml:space="preserve"> previous</w:t>
      </w:r>
      <w:r w:rsidR="00BC02B9" w:rsidRPr="007E4F20">
        <w:rPr>
          <w:lang w:val="en-GB"/>
        </w:rPr>
        <w:t xml:space="preserve"> experience.</w:t>
      </w:r>
      <w:r w:rsidR="009D09A6">
        <w:rPr>
          <w:lang w:val="en-GB"/>
        </w:rPr>
        <w:t xml:space="preserve"> </w:t>
      </w:r>
      <w:r w:rsidR="000E1047">
        <w:rPr>
          <w:lang w:val="en-GB"/>
        </w:rPr>
        <w:t xml:space="preserve">An </w:t>
      </w:r>
      <w:r w:rsidR="009D7531">
        <w:rPr>
          <w:lang w:val="en-GB"/>
        </w:rPr>
        <w:t xml:space="preserve">excerpt </w:t>
      </w:r>
      <w:r w:rsidR="009D09A6" w:rsidRPr="00D37319">
        <w:rPr>
          <w:lang w:val="en-GB"/>
        </w:rPr>
        <w:t xml:space="preserve">from </w:t>
      </w:r>
      <w:r w:rsidR="00F17D29">
        <w:rPr>
          <w:lang w:val="en-GB"/>
        </w:rPr>
        <w:t xml:space="preserve">the </w:t>
      </w:r>
      <w:r w:rsidR="00CC72BB">
        <w:rPr>
          <w:lang w:val="en-GB"/>
        </w:rPr>
        <w:t>a</w:t>
      </w:r>
      <w:r w:rsidR="009D09A6" w:rsidRPr="00D37319">
        <w:rPr>
          <w:lang w:val="en-GB"/>
        </w:rPr>
        <w:t>ppendix</w:t>
      </w:r>
      <w:r w:rsidR="00743EAF">
        <w:rPr>
          <w:lang w:val="en-GB"/>
        </w:rPr>
        <w:t xml:space="preserve"> 1</w:t>
      </w:r>
      <w:r w:rsidR="00F17D29">
        <w:rPr>
          <w:i/>
          <w:iCs/>
          <w:lang w:val="en-GB"/>
        </w:rPr>
        <w:t>,</w:t>
      </w:r>
      <w:r w:rsidR="009D09A6" w:rsidRPr="00D37319">
        <w:rPr>
          <w:lang w:val="en-GB"/>
        </w:rPr>
        <w:t xml:space="preserve"> </w:t>
      </w:r>
      <w:r w:rsidR="00F17D29">
        <w:rPr>
          <w:lang w:val="en-GB"/>
        </w:rPr>
        <w:t>the table</w:t>
      </w:r>
      <w:r w:rsidR="00F17D29" w:rsidRPr="00D37319">
        <w:rPr>
          <w:lang w:val="en-GB"/>
        </w:rPr>
        <w:t xml:space="preserve"> below</w:t>
      </w:r>
      <w:r w:rsidR="00F17D29">
        <w:rPr>
          <w:lang w:val="en-GB"/>
        </w:rPr>
        <w:t>,</w:t>
      </w:r>
      <w:r w:rsidR="00F17D29" w:rsidRPr="00D37319">
        <w:rPr>
          <w:lang w:val="en-GB"/>
        </w:rPr>
        <w:t xml:space="preserve"> </w:t>
      </w:r>
      <w:r w:rsidR="009D09A6">
        <w:rPr>
          <w:lang w:val="en-GB"/>
        </w:rPr>
        <w:t xml:space="preserve">shall be </w:t>
      </w:r>
      <w:r w:rsidR="009D09A6" w:rsidRPr="00D37319">
        <w:rPr>
          <w:lang w:val="en-GB"/>
        </w:rPr>
        <w:t>copied and added to the application.</w:t>
      </w:r>
    </w:p>
    <w:p w14:paraId="58797593" w14:textId="0053750A" w:rsidR="00BC02B9" w:rsidRDefault="00BC02B9" w:rsidP="00BC02B9">
      <w:pPr>
        <w:rPr>
          <w:lang w:val="en-GB"/>
        </w:rPr>
      </w:pPr>
    </w:p>
    <w:p w14:paraId="712E8AA5" w14:textId="537A93CD" w:rsidR="005B791E" w:rsidRDefault="00743EAF" w:rsidP="00BC02B9">
      <w:pPr>
        <w:rPr>
          <w:rFonts w:ascii="Roboto" w:hAnsi="Roboto"/>
          <w:color w:val="3C4043"/>
          <w:sz w:val="36"/>
          <w:szCs w:val="36"/>
          <w:shd w:val="clear" w:color="auto" w:fill="F5F5F5"/>
          <w:lang w:val="en-GB"/>
        </w:rPr>
      </w:pPr>
      <w:r>
        <w:rPr>
          <w:sz w:val="20"/>
          <w:szCs w:val="20"/>
          <w:lang w:val="en-GB"/>
        </w:rPr>
        <w:t xml:space="preserve"> The e</w:t>
      </w:r>
      <w:r w:rsidR="005B791E" w:rsidRPr="007B3F70">
        <w:rPr>
          <w:sz w:val="20"/>
          <w:szCs w:val="20"/>
          <w:lang w:val="en-GB"/>
        </w:rPr>
        <w:t>xcerpt from appendix 1 which gives an overview of the quotas applied for</w:t>
      </w:r>
      <w:r w:rsidR="003544B4">
        <w:rPr>
          <w:sz w:val="20"/>
          <w:szCs w:val="20"/>
          <w:lang w:val="en-GB"/>
        </w:rPr>
        <w:t>.</w:t>
      </w:r>
    </w:p>
    <w:p w14:paraId="46A07BDE" w14:textId="764CA0BE" w:rsidR="00BC02B9" w:rsidRPr="007E4F20" w:rsidRDefault="00AC4193" w:rsidP="00BC02B9">
      <w:pPr>
        <w:rPr>
          <w:lang w:val="en-GB"/>
        </w:rPr>
      </w:pPr>
      <w:r>
        <w:rPr>
          <w:noProof/>
        </w:rPr>
        <w:drawing>
          <wp:inline distT="0" distB="0" distL="0" distR="0" wp14:anchorId="74BF9434" wp14:editId="74A58067">
            <wp:extent cx="5306168" cy="1790950"/>
            <wp:effectExtent l="0" t="0" r="0" b="0"/>
            <wp:docPr id="2117738583" name="Bilde 2117738583"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75450" name="Bilde 491875450" descr="Et bilde som inneholder tekst, skjermbilde, Font, nummer&#10;&#10;Automatisk generert beskrivelse"/>
                    <pic:cNvPicPr/>
                  </pic:nvPicPr>
                  <pic:blipFill>
                    <a:blip r:embed="rId22">
                      <a:extLst>
                        <a:ext uri="{28A0092B-C50C-407E-A947-70E740481C1C}">
                          <a14:useLocalDpi xmlns:a14="http://schemas.microsoft.com/office/drawing/2010/main" val="0"/>
                        </a:ext>
                      </a:extLst>
                    </a:blip>
                    <a:stretch>
                      <a:fillRect/>
                    </a:stretch>
                  </pic:blipFill>
                  <pic:spPr>
                    <a:xfrm>
                      <a:off x="0" y="0"/>
                      <a:ext cx="5306168" cy="1790950"/>
                    </a:xfrm>
                    <a:prstGeom prst="rect">
                      <a:avLst/>
                    </a:prstGeom>
                  </pic:spPr>
                </pic:pic>
              </a:graphicData>
            </a:graphic>
          </wp:inline>
        </w:drawing>
      </w:r>
    </w:p>
    <w:p w14:paraId="281C2425" w14:textId="77777777" w:rsidR="00AC4193" w:rsidRDefault="00AC4193" w:rsidP="00BC02B9">
      <w:pPr>
        <w:rPr>
          <w:lang w:val="en-GB"/>
        </w:rPr>
      </w:pPr>
    </w:p>
    <w:p w14:paraId="15BCC9F8" w14:textId="2442327F" w:rsidR="00BC02B9" w:rsidRPr="00244377" w:rsidRDefault="00BC02B9" w:rsidP="00BC02B9">
      <w:pPr>
        <w:rPr>
          <w:lang w:val="en-GB"/>
        </w:rPr>
      </w:pPr>
      <w:r w:rsidRPr="007E4F20">
        <w:rPr>
          <w:lang w:val="en-GB"/>
        </w:rPr>
        <w:t xml:space="preserve">If the licensee is applying for a volume which exceeds the volume </w:t>
      </w:r>
      <w:r>
        <w:rPr>
          <w:lang w:val="en-GB"/>
        </w:rPr>
        <w:t>permitted</w:t>
      </w:r>
      <w:r w:rsidRPr="007E4F20">
        <w:rPr>
          <w:lang w:val="en-GB"/>
        </w:rPr>
        <w:t xml:space="preserve"> in the previous yearly permit, the reason for this increase shall be stated in the application letter. Examples of reasons for increased volumes </w:t>
      </w:r>
      <w:r>
        <w:rPr>
          <w:lang w:val="en-GB"/>
        </w:rPr>
        <w:t>may be</w:t>
      </w:r>
      <w:r w:rsidRPr="007E4F20">
        <w:rPr>
          <w:lang w:val="en-GB"/>
        </w:rPr>
        <w:t xml:space="preserve"> planned shutdowns, connecting new facilities/fields, and replacing equipment.</w:t>
      </w:r>
      <w:r w:rsidRPr="00244377">
        <w:rPr>
          <w:lang w:val="en-GB"/>
        </w:rPr>
        <w:t xml:space="preserve"> </w:t>
      </w:r>
      <w:r w:rsidR="005A2168">
        <w:rPr>
          <w:lang w:val="en-GB"/>
        </w:rPr>
        <w:t>Signifi</w:t>
      </w:r>
      <w:r w:rsidR="00D15D06">
        <w:rPr>
          <w:lang w:val="en-GB"/>
        </w:rPr>
        <w:t>cant</w:t>
      </w:r>
      <w:r w:rsidRPr="00244377">
        <w:rPr>
          <w:lang w:val="en-GB"/>
        </w:rPr>
        <w:t xml:space="preserve"> discrepancies between the volume reported for the RNB and the application volume shall be accounted for in the application.</w:t>
      </w:r>
    </w:p>
    <w:p w14:paraId="069CEC2A" w14:textId="77777777" w:rsidR="00BC02B9" w:rsidRDefault="00BC02B9" w:rsidP="00BC02B9">
      <w:pPr>
        <w:rPr>
          <w:lang w:val="en-GB"/>
        </w:rPr>
      </w:pPr>
    </w:p>
    <w:p w14:paraId="001E5E84" w14:textId="27BD5F90" w:rsidR="00B8728F" w:rsidRPr="00D37319" w:rsidRDefault="00BC02B9" w:rsidP="00BC02B9">
      <w:pPr>
        <w:rPr>
          <w:lang w:val="en-GB"/>
        </w:rPr>
      </w:pPr>
      <w:r w:rsidRPr="00D37319">
        <w:rPr>
          <w:lang w:val="en-GB"/>
        </w:rPr>
        <w:t xml:space="preserve">In connection with the application for </w:t>
      </w:r>
      <w:r>
        <w:rPr>
          <w:lang w:val="en-GB"/>
        </w:rPr>
        <w:t>flaring</w:t>
      </w:r>
      <w:r w:rsidRPr="00D37319">
        <w:rPr>
          <w:lang w:val="en-GB"/>
        </w:rPr>
        <w:t xml:space="preserve"> and </w:t>
      </w:r>
      <w:proofErr w:type="gramStart"/>
      <w:r w:rsidRPr="00D37319">
        <w:rPr>
          <w:lang w:val="en-GB"/>
        </w:rPr>
        <w:t>cold</w:t>
      </w:r>
      <w:r>
        <w:rPr>
          <w:lang w:val="en-GB"/>
        </w:rPr>
        <w:t>-</w:t>
      </w:r>
      <w:r w:rsidRPr="00D37319">
        <w:rPr>
          <w:lang w:val="en-GB"/>
        </w:rPr>
        <w:t>venti</w:t>
      </w:r>
      <w:r>
        <w:rPr>
          <w:lang w:val="en-GB"/>
        </w:rPr>
        <w:t>ng</w:t>
      </w:r>
      <w:proofErr w:type="gramEnd"/>
      <w:r w:rsidRPr="00D37319">
        <w:rPr>
          <w:lang w:val="en-GB"/>
        </w:rPr>
        <w:t>, we ask the licensees to check the applied quota against the emission permit granted by the Norwegian Environment Agency.</w:t>
      </w:r>
    </w:p>
    <w:p w14:paraId="01B3B628" w14:textId="77777777" w:rsidR="0087657A" w:rsidRDefault="0087657A">
      <w:pPr>
        <w:spacing w:after="200" w:line="276" w:lineRule="auto"/>
        <w:rPr>
          <w:rFonts w:asciiTheme="majorHAnsi" w:eastAsiaTheme="majorEastAsia" w:hAnsiTheme="majorHAnsi" w:cstheme="majorBidi"/>
          <w:b/>
          <w:bCs/>
          <w:sz w:val="28"/>
          <w:szCs w:val="28"/>
          <w:highlight w:val="lightGray"/>
          <w:lang w:val="en-GB"/>
        </w:rPr>
      </w:pPr>
      <w:bookmarkStart w:id="65" w:name="_Toc52977197"/>
      <w:bookmarkStart w:id="66" w:name="_Toc138670747"/>
      <w:bookmarkEnd w:id="53"/>
      <w:bookmarkEnd w:id="54"/>
      <w:bookmarkEnd w:id="55"/>
      <w:bookmarkEnd w:id="56"/>
      <w:r>
        <w:rPr>
          <w:highlight w:val="lightGray"/>
          <w:lang w:val="en-GB"/>
        </w:rPr>
        <w:br w:type="page"/>
      </w:r>
    </w:p>
    <w:p w14:paraId="156499F3" w14:textId="1E5E8182" w:rsidR="00BC02B9" w:rsidRPr="000C23F1" w:rsidRDefault="00BB3EC6" w:rsidP="0087657A">
      <w:pPr>
        <w:pStyle w:val="Overskrift1"/>
        <w:spacing w:before="600" w:after="120"/>
        <w:ind w:left="0" w:firstLine="0"/>
        <w:rPr>
          <w:lang w:val="en-GB"/>
        </w:rPr>
      </w:pPr>
      <w:bookmarkStart w:id="67" w:name="_Toc200454824"/>
      <w:r>
        <w:rPr>
          <w:lang w:val="en-GB"/>
        </w:rPr>
        <w:lastRenderedPageBreak/>
        <w:t xml:space="preserve">5   </w:t>
      </w:r>
      <w:r w:rsidR="00BC02B9" w:rsidRPr="000C23F1">
        <w:rPr>
          <w:lang w:val="en-GB"/>
        </w:rPr>
        <w:t xml:space="preserve">Special </w:t>
      </w:r>
      <w:r w:rsidR="00DE63F6">
        <w:rPr>
          <w:lang w:val="en-GB"/>
        </w:rPr>
        <w:t>P</w:t>
      </w:r>
      <w:r w:rsidR="00BC02B9" w:rsidRPr="000C23F1">
        <w:rPr>
          <w:lang w:val="en-GB"/>
        </w:rPr>
        <w:t xml:space="preserve">roduction </w:t>
      </w:r>
      <w:r w:rsidR="00DE63F6">
        <w:rPr>
          <w:lang w:val="en-GB"/>
        </w:rPr>
        <w:t>P</w:t>
      </w:r>
      <w:r w:rsidR="00BC02B9" w:rsidRPr="000C23F1">
        <w:rPr>
          <w:lang w:val="en-GB"/>
        </w:rPr>
        <w:t xml:space="preserve">ermits for </w:t>
      </w:r>
      <w:r w:rsidR="00DE63F6">
        <w:rPr>
          <w:lang w:val="en-GB"/>
        </w:rPr>
        <w:t>G</w:t>
      </w:r>
      <w:r w:rsidR="00BC02B9" w:rsidRPr="000C23F1">
        <w:rPr>
          <w:lang w:val="en-GB"/>
        </w:rPr>
        <w:t>as</w:t>
      </w:r>
      <w:bookmarkEnd w:id="65"/>
      <w:bookmarkEnd w:id="66"/>
      <w:bookmarkEnd w:id="67"/>
      <w:r w:rsidR="00BC02B9" w:rsidRPr="000C23F1">
        <w:rPr>
          <w:lang w:val="en-GB"/>
        </w:rPr>
        <w:t xml:space="preserve"> </w:t>
      </w:r>
    </w:p>
    <w:p w14:paraId="4F72CC74" w14:textId="15553012" w:rsidR="00BC02B9" w:rsidRPr="000C23F1" w:rsidRDefault="00BC02B9" w:rsidP="00BC02B9">
      <w:pPr>
        <w:pStyle w:val="Brdtekst"/>
        <w:rPr>
          <w:lang w:val="en-GB"/>
        </w:rPr>
      </w:pPr>
      <w:bookmarkStart w:id="68" w:name="_Hlk53339379"/>
      <w:proofErr w:type="gramStart"/>
      <w:r w:rsidRPr="00857572">
        <w:rPr>
          <w:lang w:val="en-GB"/>
        </w:rPr>
        <w:t>As a general rule</w:t>
      </w:r>
      <w:proofErr w:type="gramEnd"/>
      <w:r w:rsidRPr="00857572">
        <w:rPr>
          <w:lang w:val="en-GB"/>
        </w:rPr>
        <w:t>, the licensee shall apply for a joint production permit for liquids (oil, NGL and condensate) and gas for the upcoming calendar year by November</w:t>
      </w:r>
      <w:bookmarkStart w:id="69" w:name="_Toc51773668"/>
      <w:bookmarkEnd w:id="69"/>
      <w:r w:rsidRPr="00857572">
        <w:rPr>
          <w:lang w:val="en-GB"/>
        </w:rPr>
        <w:t xml:space="preserve"> 1</w:t>
      </w:r>
      <w:r w:rsidRPr="000C23F1">
        <w:rPr>
          <w:vertAlign w:val="superscript"/>
          <w:lang w:val="en-GB"/>
        </w:rPr>
        <w:t>st</w:t>
      </w:r>
      <w:r w:rsidRPr="0073617C">
        <w:rPr>
          <w:lang w:val="en-GB"/>
        </w:rPr>
        <w:t xml:space="preserve">, cf. </w:t>
      </w:r>
      <w:r w:rsidR="00AF5930">
        <w:rPr>
          <w:lang w:val="en-GB"/>
        </w:rPr>
        <w:t>section</w:t>
      </w:r>
      <w:r w:rsidR="00AF5930" w:rsidRPr="0073617C">
        <w:rPr>
          <w:lang w:val="en-GB"/>
        </w:rPr>
        <w:t xml:space="preserve"> </w:t>
      </w:r>
      <w:r w:rsidRPr="0073617C">
        <w:rPr>
          <w:lang w:val="en-GB"/>
        </w:rPr>
        <w:t>4 above.</w:t>
      </w:r>
    </w:p>
    <w:p w14:paraId="021A5B6E" w14:textId="77777777" w:rsidR="00BC02B9" w:rsidRPr="00857572" w:rsidRDefault="00BC02B9" w:rsidP="00BC02B9">
      <w:pPr>
        <w:pStyle w:val="Brdtekst"/>
        <w:rPr>
          <w:lang w:val="en-GB"/>
        </w:rPr>
      </w:pPr>
      <w:bookmarkStart w:id="70" w:name="_Toc51773669"/>
      <w:bookmarkEnd w:id="70"/>
    </w:p>
    <w:p w14:paraId="483243E8" w14:textId="3E67B3E1" w:rsidR="00BC02B9" w:rsidRPr="00857572" w:rsidRDefault="00BC02B9" w:rsidP="00BC02B9">
      <w:pPr>
        <w:pStyle w:val="Brdtekst"/>
        <w:rPr>
          <w:lang w:val="en-GB"/>
        </w:rPr>
      </w:pPr>
      <w:r w:rsidRPr="00857572">
        <w:rPr>
          <w:lang w:val="en-GB"/>
        </w:rPr>
        <w:t xml:space="preserve">If </w:t>
      </w:r>
      <w:r>
        <w:rPr>
          <w:lang w:val="en-GB"/>
        </w:rPr>
        <w:t>adequate</w:t>
      </w:r>
      <w:r w:rsidRPr="00857572">
        <w:rPr>
          <w:lang w:val="en-GB"/>
        </w:rPr>
        <w:t xml:space="preserve">, the </w:t>
      </w:r>
      <w:r>
        <w:rPr>
          <w:lang w:val="en-GB"/>
        </w:rPr>
        <w:t>l</w:t>
      </w:r>
      <w:r w:rsidRPr="00857572">
        <w:rPr>
          <w:lang w:val="en-GB"/>
        </w:rPr>
        <w:t>icensee can</w:t>
      </w:r>
      <w:r w:rsidRPr="00857572" w:rsidDel="00321135">
        <w:rPr>
          <w:lang w:val="en-GB"/>
        </w:rPr>
        <w:t xml:space="preserve"> </w:t>
      </w:r>
      <w:r w:rsidRPr="00857572">
        <w:rPr>
          <w:lang w:val="en-GB"/>
        </w:rPr>
        <w:t xml:space="preserve">apply for a separate production permit for gas. This is for instances where the volume and long-term predictability of gas deliveries is important. Fields that want to apply for a special production permit for gas </w:t>
      </w:r>
      <w:r>
        <w:rPr>
          <w:lang w:val="en-GB"/>
        </w:rPr>
        <w:t>are requested to</w:t>
      </w:r>
      <w:r w:rsidRPr="00857572">
        <w:rPr>
          <w:lang w:val="en-GB"/>
        </w:rPr>
        <w:t xml:space="preserve"> contact the </w:t>
      </w:r>
      <w:r w:rsidR="00356222">
        <w:rPr>
          <w:lang w:val="en-GB"/>
        </w:rPr>
        <w:t>Ministry</w:t>
      </w:r>
      <w:r w:rsidR="00356222" w:rsidRPr="00857572">
        <w:rPr>
          <w:lang w:val="en-GB"/>
        </w:rPr>
        <w:t xml:space="preserve"> </w:t>
      </w:r>
      <w:r w:rsidRPr="00857572">
        <w:rPr>
          <w:lang w:val="en-GB"/>
        </w:rPr>
        <w:t>well in advance of the application deadline to clarify the need for such a permit.</w:t>
      </w:r>
    </w:p>
    <w:bookmarkEnd w:id="68"/>
    <w:p w14:paraId="4B63F6EC" w14:textId="77777777" w:rsidR="00BC02B9" w:rsidRPr="00857572" w:rsidRDefault="00BC02B9" w:rsidP="00BC02B9">
      <w:pPr>
        <w:rPr>
          <w:lang w:val="en-GB"/>
        </w:rPr>
      </w:pPr>
    </w:p>
    <w:p w14:paraId="55048BD5" w14:textId="7B68E319" w:rsidR="00BC02B9" w:rsidRPr="00857572" w:rsidRDefault="00BB3EC6" w:rsidP="00D32207">
      <w:pPr>
        <w:pStyle w:val="Overskrift2"/>
        <w:numPr>
          <w:ilvl w:val="1"/>
          <w:numId w:val="5"/>
        </w:numPr>
        <w:spacing w:before="120" w:after="120"/>
        <w:rPr>
          <w:lang w:val="en-GB"/>
        </w:rPr>
      </w:pPr>
      <w:bookmarkStart w:id="71" w:name="_Toc138670748"/>
      <w:r>
        <w:rPr>
          <w:lang w:val="en-GB"/>
        </w:rPr>
        <w:t xml:space="preserve"> </w:t>
      </w:r>
      <w:bookmarkStart w:id="72" w:name="_Toc200454825"/>
      <w:r w:rsidR="00BC02B9" w:rsidRPr="00857572">
        <w:rPr>
          <w:lang w:val="en-GB"/>
        </w:rPr>
        <w:t xml:space="preserve">Application </w:t>
      </w:r>
      <w:r w:rsidR="00317FBD">
        <w:rPr>
          <w:lang w:val="en-GB"/>
        </w:rPr>
        <w:t>D</w:t>
      </w:r>
      <w:r w:rsidR="00BC02B9" w:rsidRPr="00857572">
        <w:rPr>
          <w:lang w:val="en-GB"/>
        </w:rPr>
        <w:t>eadline</w:t>
      </w:r>
      <w:bookmarkEnd w:id="71"/>
      <w:bookmarkEnd w:id="72"/>
      <w:r w:rsidR="00BC02B9" w:rsidRPr="00857572">
        <w:rPr>
          <w:lang w:val="en-GB"/>
        </w:rPr>
        <w:t xml:space="preserve"> </w:t>
      </w:r>
    </w:p>
    <w:p w14:paraId="1387451D" w14:textId="77777777" w:rsidR="00BC02B9" w:rsidRPr="00857572" w:rsidRDefault="00BC02B9" w:rsidP="00BC02B9">
      <w:pPr>
        <w:pStyle w:val="Brdtekst"/>
        <w:rPr>
          <w:lang w:val="en-GB"/>
        </w:rPr>
      </w:pPr>
      <w:r w:rsidRPr="00857572">
        <w:rPr>
          <w:lang w:val="en-GB"/>
        </w:rPr>
        <w:t>The application deadline for fields in operation is February</w:t>
      </w:r>
      <w:r>
        <w:rPr>
          <w:lang w:val="en-GB"/>
        </w:rPr>
        <w:t xml:space="preserve"> </w:t>
      </w:r>
      <w:r w:rsidRPr="00857572">
        <w:rPr>
          <w:lang w:val="en-GB"/>
        </w:rPr>
        <w:t>1</w:t>
      </w:r>
      <w:r w:rsidRPr="000C23F1">
        <w:rPr>
          <w:vertAlign w:val="superscript"/>
          <w:lang w:val="en-GB"/>
        </w:rPr>
        <w:t>st</w:t>
      </w:r>
      <w:r w:rsidRPr="00857572">
        <w:rPr>
          <w:lang w:val="en-GB"/>
        </w:rPr>
        <w:t>,</w:t>
      </w:r>
      <w:r>
        <w:rPr>
          <w:lang w:val="en-GB"/>
        </w:rPr>
        <w:t xml:space="preserve"> </w:t>
      </w:r>
      <w:r w:rsidRPr="00857572">
        <w:rPr>
          <w:lang w:val="en-GB"/>
        </w:rPr>
        <w:t>and a permit will be issued for the upcoming gas year (1 October through 30 September). Permits may also be issued for a period of more than one gas year (long-term permits).</w:t>
      </w:r>
    </w:p>
    <w:p w14:paraId="477332E4" w14:textId="77777777" w:rsidR="00BC02B9" w:rsidRPr="00857572" w:rsidRDefault="00BC02B9" w:rsidP="00BC02B9">
      <w:pPr>
        <w:pStyle w:val="Brdtekst"/>
        <w:rPr>
          <w:lang w:val="en-GB"/>
        </w:rPr>
      </w:pPr>
    </w:p>
    <w:p w14:paraId="29742800" w14:textId="66185B03" w:rsidR="00BC02B9" w:rsidRPr="00857572" w:rsidRDefault="00BC02B9" w:rsidP="00BC02B9">
      <w:pPr>
        <w:pStyle w:val="Brdtekst"/>
        <w:rPr>
          <w:lang w:val="en-GB"/>
        </w:rPr>
      </w:pPr>
      <w:r w:rsidRPr="00857572">
        <w:rPr>
          <w:lang w:val="en-GB"/>
        </w:rPr>
        <w:t xml:space="preserve">Please note that fields with a special production permit for gas shall also apply for a permit for </w:t>
      </w:r>
      <w:r>
        <w:rPr>
          <w:lang w:val="en-GB"/>
        </w:rPr>
        <w:t xml:space="preserve">any </w:t>
      </w:r>
      <w:r w:rsidRPr="00857572">
        <w:rPr>
          <w:lang w:val="en-GB"/>
        </w:rPr>
        <w:t xml:space="preserve">other production and injection, as well as flaring and </w:t>
      </w:r>
      <w:proofErr w:type="gramStart"/>
      <w:r w:rsidRPr="00857572">
        <w:rPr>
          <w:lang w:val="en-GB"/>
        </w:rPr>
        <w:t>cold-venting</w:t>
      </w:r>
      <w:proofErr w:type="gramEnd"/>
      <w:r w:rsidRPr="00857572">
        <w:rPr>
          <w:lang w:val="en-GB"/>
        </w:rPr>
        <w:t>, for the coming calendar year by November 1</w:t>
      </w:r>
      <w:r w:rsidRPr="00857572">
        <w:rPr>
          <w:vertAlign w:val="superscript"/>
          <w:lang w:val="en-GB"/>
        </w:rPr>
        <w:t>st</w:t>
      </w:r>
      <w:r w:rsidRPr="00857572">
        <w:rPr>
          <w:lang w:val="en-GB"/>
        </w:rPr>
        <w:t xml:space="preserve">, cf. </w:t>
      </w:r>
      <w:r w:rsidR="00AF5930">
        <w:rPr>
          <w:lang w:val="en-GB"/>
        </w:rPr>
        <w:t>section</w:t>
      </w:r>
      <w:r w:rsidR="00E4652E" w:rsidRPr="0073617C">
        <w:rPr>
          <w:lang w:val="en-GB"/>
        </w:rPr>
        <w:t xml:space="preserve"> </w:t>
      </w:r>
      <w:r w:rsidR="00455855">
        <w:rPr>
          <w:lang w:val="en-GB"/>
        </w:rPr>
        <w:t xml:space="preserve">4 </w:t>
      </w:r>
      <w:r>
        <w:rPr>
          <w:lang w:val="en-GB"/>
        </w:rPr>
        <w:t xml:space="preserve">and </w:t>
      </w:r>
      <w:r w:rsidR="00EE2964">
        <w:rPr>
          <w:lang w:val="en-GB"/>
        </w:rPr>
        <w:t>t</w:t>
      </w:r>
      <w:r>
        <w:rPr>
          <w:lang w:val="en-GB"/>
        </w:rPr>
        <w:t xml:space="preserve">able </w:t>
      </w:r>
      <w:r w:rsidR="00BC7423">
        <w:rPr>
          <w:lang w:val="en-GB"/>
        </w:rPr>
        <w:t>3</w:t>
      </w:r>
      <w:r>
        <w:rPr>
          <w:lang w:val="en-GB"/>
        </w:rPr>
        <w:t>.</w:t>
      </w:r>
      <w:r w:rsidRPr="00857572">
        <w:rPr>
          <w:lang w:val="en-GB"/>
        </w:rPr>
        <w:t xml:space="preserve"> </w:t>
      </w:r>
    </w:p>
    <w:p w14:paraId="682F534D" w14:textId="77777777" w:rsidR="00BC02B9" w:rsidRPr="00857572" w:rsidRDefault="00BC02B9" w:rsidP="00BC02B9">
      <w:pPr>
        <w:pStyle w:val="Brdtekst"/>
        <w:rPr>
          <w:lang w:val="en-GB"/>
        </w:rPr>
      </w:pPr>
    </w:p>
    <w:p w14:paraId="7A9B9FDD" w14:textId="059A60BF" w:rsidR="00BC02B9" w:rsidRPr="00857572" w:rsidRDefault="00A83D4B" w:rsidP="00D32207">
      <w:pPr>
        <w:pStyle w:val="Overskrift2"/>
        <w:numPr>
          <w:ilvl w:val="1"/>
          <w:numId w:val="5"/>
        </w:numPr>
        <w:spacing w:before="120" w:after="120"/>
        <w:rPr>
          <w:lang w:val="en-GB"/>
        </w:rPr>
      </w:pPr>
      <w:bookmarkStart w:id="73" w:name="_Toc52977198"/>
      <w:bookmarkStart w:id="74" w:name="_Toc138670749"/>
      <w:r>
        <w:rPr>
          <w:lang w:val="en-GB"/>
        </w:rPr>
        <w:t xml:space="preserve"> </w:t>
      </w:r>
      <w:bookmarkStart w:id="75" w:name="_Toc200454826"/>
      <w:r w:rsidR="00BC02B9" w:rsidRPr="00857572">
        <w:rPr>
          <w:lang w:val="en-GB"/>
        </w:rPr>
        <w:t xml:space="preserve">Regarding the </w:t>
      </w:r>
      <w:r w:rsidR="00584E3E">
        <w:rPr>
          <w:lang w:val="en-GB"/>
        </w:rPr>
        <w:t>A</w:t>
      </w:r>
      <w:r w:rsidR="00BC02B9" w:rsidRPr="00857572">
        <w:rPr>
          <w:lang w:val="en-GB"/>
        </w:rPr>
        <w:t>pplication</w:t>
      </w:r>
      <w:bookmarkEnd w:id="73"/>
      <w:bookmarkEnd w:id="74"/>
      <w:bookmarkEnd w:id="75"/>
      <w:r w:rsidR="00BC02B9" w:rsidRPr="00857572">
        <w:rPr>
          <w:lang w:val="en-GB"/>
        </w:rPr>
        <w:t xml:space="preserve"> </w:t>
      </w:r>
    </w:p>
    <w:p w14:paraId="3F50DAE5" w14:textId="77777777" w:rsidR="00BC02B9" w:rsidRPr="00857572" w:rsidRDefault="00BC02B9" w:rsidP="00BC02B9">
      <w:pPr>
        <w:pStyle w:val="Brdtekst"/>
        <w:rPr>
          <w:lang w:val="en-GB"/>
        </w:rPr>
      </w:pPr>
      <w:r w:rsidRPr="00857572">
        <w:rPr>
          <w:lang w:val="en-GB"/>
        </w:rPr>
        <w:t>The volume in the application shall define maximum gas deliveries per gas year. The production application shall define profiles for physical volumes and volumes converted to 40 MJ/Sm</w:t>
      </w:r>
      <w:r w:rsidRPr="00857572">
        <w:rPr>
          <w:vertAlign w:val="superscript"/>
          <w:lang w:val="en-GB"/>
        </w:rPr>
        <w:t>3</w:t>
      </w:r>
      <w:r w:rsidRPr="00857572">
        <w:rPr>
          <w:lang w:val="en-GB"/>
        </w:rPr>
        <w:t>-equivalent gas per gas year. The volume stated in the production permit is the total permitted quantity of 40 MJ/Sm</w:t>
      </w:r>
      <w:r w:rsidRPr="00857572">
        <w:rPr>
          <w:vertAlign w:val="superscript"/>
          <w:lang w:val="en-GB"/>
        </w:rPr>
        <w:t>3</w:t>
      </w:r>
      <w:r w:rsidRPr="00857572">
        <w:rPr>
          <w:lang w:val="en-GB"/>
        </w:rPr>
        <w:t>-equivalent gas from the field/fields covered by the production permit.</w:t>
      </w:r>
    </w:p>
    <w:p w14:paraId="1BEA558A" w14:textId="77777777" w:rsidR="00BC02B9" w:rsidRPr="00857572" w:rsidRDefault="00BC02B9" w:rsidP="00BC02B9">
      <w:pPr>
        <w:pStyle w:val="Brdtekst"/>
        <w:rPr>
          <w:lang w:val="en-GB"/>
        </w:rPr>
      </w:pPr>
    </w:p>
    <w:p w14:paraId="07E05A84" w14:textId="15B78974" w:rsidR="00BC02B9" w:rsidRDefault="00BC02B9" w:rsidP="00BC02B9">
      <w:pPr>
        <w:pStyle w:val="Brdtekst"/>
        <w:rPr>
          <w:lang w:val="en-GB"/>
        </w:rPr>
      </w:pPr>
      <w:r w:rsidRPr="00857572">
        <w:rPr>
          <w:lang w:val="en-GB"/>
        </w:rPr>
        <w:t>The application shall state the extent to which the maximum deliveries potentially deviate from volumes reported for the RNB. It shall also provide an account of the consequences the maximum deliveries could have for resource utilisation, including particularly liquid production, compared with the assumptions in the RNB and annual status report.</w:t>
      </w:r>
    </w:p>
    <w:p w14:paraId="44FD2317" w14:textId="77777777" w:rsidR="00BC02B9" w:rsidRDefault="00BC02B9" w:rsidP="00BC02B9">
      <w:pPr>
        <w:pStyle w:val="Brdtekst"/>
        <w:rPr>
          <w:lang w:val="en-GB"/>
        </w:rPr>
      </w:pPr>
    </w:p>
    <w:p w14:paraId="3E37F87B" w14:textId="77777777" w:rsidR="00BC02B9" w:rsidRDefault="00BC02B9" w:rsidP="00BC02B9">
      <w:pPr>
        <w:pStyle w:val="Brdtekst"/>
        <w:rPr>
          <w:lang w:val="en-GB"/>
        </w:rPr>
      </w:pPr>
      <w:r w:rsidRPr="00D37319">
        <w:rPr>
          <w:lang w:val="en-GB"/>
        </w:rPr>
        <w:t xml:space="preserve">Fields </w:t>
      </w:r>
      <w:r>
        <w:rPr>
          <w:lang w:val="en-GB"/>
        </w:rPr>
        <w:t>having</w:t>
      </w:r>
      <w:r w:rsidRPr="00D37319">
        <w:rPr>
          <w:lang w:val="en-GB"/>
        </w:rPr>
        <w:t xml:space="preserve"> accumulated volumes from previous gas</w:t>
      </w:r>
      <w:r>
        <w:rPr>
          <w:lang w:val="en-GB"/>
        </w:rPr>
        <w:t xml:space="preserve"> year</w:t>
      </w:r>
      <w:r w:rsidRPr="00D37319">
        <w:rPr>
          <w:lang w:val="en-GB"/>
        </w:rPr>
        <w:t xml:space="preserve"> (Carry forward volumes) must state the balance for such volumes, how these were obtained and planned withdrawals for the next gas year.</w:t>
      </w:r>
    </w:p>
    <w:p w14:paraId="04445955" w14:textId="77777777" w:rsidR="00BC02B9" w:rsidRDefault="00BC02B9" w:rsidP="00BC02B9">
      <w:pPr>
        <w:pStyle w:val="Brdtekst"/>
        <w:rPr>
          <w:lang w:val="en-GB"/>
        </w:rPr>
      </w:pPr>
    </w:p>
    <w:p w14:paraId="4D23D2C4" w14:textId="38DCB1B6" w:rsidR="00BC02B9" w:rsidRDefault="00A83D4B" w:rsidP="00D32207">
      <w:pPr>
        <w:pStyle w:val="Overskrift2"/>
        <w:numPr>
          <w:ilvl w:val="1"/>
          <w:numId w:val="5"/>
        </w:numPr>
        <w:spacing w:before="120" w:after="120"/>
        <w:rPr>
          <w:lang w:val="en-GB"/>
        </w:rPr>
      </w:pPr>
      <w:bookmarkStart w:id="76" w:name="_Toc52977199"/>
      <w:bookmarkStart w:id="77" w:name="_Toc138670750"/>
      <w:r>
        <w:rPr>
          <w:lang w:val="en-GB"/>
        </w:rPr>
        <w:t xml:space="preserve"> </w:t>
      </w:r>
      <w:bookmarkStart w:id="78" w:name="_Toc200454827"/>
      <w:r w:rsidR="00BC02B9" w:rsidRPr="00857572">
        <w:rPr>
          <w:lang w:val="en-GB"/>
        </w:rPr>
        <w:t xml:space="preserve">Transferring </w:t>
      </w:r>
      <w:r w:rsidR="00303751">
        <w:rPr>
          <w:lang w:val="en-GB"/>
        </w:rPr>
        <w:t>V</w:t>
      </w:r>
      <w:r w:rsidR="00BC02B9" w:rsidRPr="00857572">
        <w:rPr>
          <w:lang w:val="en-GB"/>
        </w:rPr>
        <w:t xml:space="preserve">olumes to </w:t>
      </w:r>
      <w:r w:rsidR="00303751">
        <w:rPr>
          <w:lang w:val="en-GB"/>
        </w:rPr>
        <w:t>S</w:t>
      </w:r>
      <w:r w:rsidR="00BC02B9" w:rsidRPr="00857572">
        <w:rPr>
          <w:lang w:val="en-GB"/>
        </w:rPr>
        <w:t xml:space="preserve">ubsequent </w:t>
      </w:r>
      <w:r w:rsidR="00303751">
        <w:rPr>
          <w:lang w:val="en-GB"/>
        </w:rPr>
        <w:t>G</w:t>
      </w:r>
      <w:r w:rsidR="00BC02B9" w:rsidRPr="00857572">
        <w:rPr>
          <w:lang w:val="en-GB"/>
        </w:rPr>
        <w:t xml:space="preserve">as </w:t>
      </w:r>
      <w:r w:rsidR="00303751">
        <w:rPr>
          <w:lang w:val="en-GB"/>
        </w:rPr>
        <w:t>Y</w:t>
      </w:r>
      <w:r w:rsidR="00BC02B9" w:rsidRPr="00857572">
        <w:rPr>
          <w:lang w:val="en-GB"/>
        </w:rPr>
        <w:t>ear</w:t>
      </w:r>
      <w:bookmarkEnd w:id="76"/>
      <w:r w:rsidR="00BC02B9" w:rsidRPr="00857572">
        <w:rPr>
          <w:lang w:val="en-GB"/>
        </w:rPr>
        <w:t xml:space="preserve">s </w:t>
      </w:r>
      <w:r w:rsidR="00BC02B9">
        <w:rPr>
          <w:lang w:val="en-GB"/>
        </w:rPr>
        <w:t>(Carry forward volume)</w:t>
      </w:r>
      <w:bookmarkEnd w:id="77"/>
      <w:bookmarkEnd w:id="78"/>
    </w:p>
    <w:p w14:paraId="72598E94" w14:textId="6F4F3CF7" w:rsidR="00BC02B9" w:rsidRPr="00857572" w:rsidRDefault="00BC02B9" w:rsidP="00BC02B9">
      <w:pPr>
        <w:pStyle w:val="Brdtekst"/>
        <w:rPr>
          <w:lang w:val="en-GB"/>
        </w:rPr>
      </w:pPr>
      <w:r>
        <w:rPr>
          <w:lang w:val="en-GB"/>
        </w:rPr>
        <w:t>In</w:t>
      </w:r>
      <w:r w:rsidRPr="00857572">
        <w:rPr>
          <w:lang w:val="en-GB"/>
        </w:rPr>
        <w:t xml:space="preserve"> special production permits for gas the </w:t>
      </w:r>
      <w:r w:rsidR="00B9732C">
        <w:rPr>
          <w:lang w:val="en-GB"/>
        </w:rPr>
        <w:t>Ministry</w:t>
      </w:r>
      <w:r w:rsidR="00B9732C" w:rsidRPr="00857572">
        <w:rPr>
          <w:lang w:val="en-GB"/>
        </w:rPr>
        <w:t xml:space="preserve"> </w:t>
      </w:r>
      <w:r w:rsidRPr="00857572">
        <w:rPr>
          <w:lang w:val="en-GB"/>
        </w:rPr>
        <w:t xml:space="preserve">will normally allow </w:t>
      </w:r>
      <w:r>
        <w:rPr>
          <w:lang w:val="en-GB"/>
        </w:rPr>
        <w:t>withdrawal</w:t>
      </w:r>
      <w:r w:rsidRPr="00857572">
        <w:rPr>
          <w:lang w:val="en-GB"/>
        </w:rPr>
        <w:t xml:space="preserve"> </w:t>
      </w:r>
      <w:r>
        <w:rPr>
          <w:lang w:val="en-GB"/>
        </w:rPr>
        <w:t>of</w:t>
      </w:r>
      <w:r w:rsidRPr="00857572">
        <w:rPr>
          <w:lang w:val="en-GB"/>
        </w:rPr>
        <w:t xml:space="preserve"> gas volume equivalent to the difference between permitted and actual production in subsequent years if production is lower than the maximum permitted volume. This accumulated volume will </w:t>
      </w:r>
      <w:r>
        <w:rPr>
          <w:lang w:val="en-GB"/>
        </w:rPr>
        <w:t xml:space="preserve">come </w:t>
      </w:r>
      <w:r w:rsidRPr="00857572">
        <w:rPr>
          <w:lang w:val="en-GB"/>
        </w:rPr>
        <w:t xml:space="preserve">in addition to the volumes </w:t>
      </w:r>
      <w:r>
        <w:rPr>
          <w:lang w:val="en-GB"/>
        </w:rPr>
        <w:t>approved in the</w:t>
      </w:r>
      <w:r w:rsidRPr="00857572">
        <w:rPr>
          <w:lang w:val="en-GB"/>
        </w:rPr>
        <w:t xml:space="preserve"> </w:t>
      </w:r>
      <w:r>
        <w:rPr>
          <w:lang w:val="en-GB"/>
        </w:rPr>
        <w:t xml:space="preserve">given </w:t>
      </w:r>
      <w:r w:rsidRPr="00857572">
        <w:rPr>
          <w:lang w:val="en-GB"/>
        </w:rPr>
        <w:t xml:space="preserve">production permit. </w:t>
      </w:r>
      <w:r>
        <w:rPr>
          <w:lang w:val="en-GB"/>
        </w:rPr>
        <w:t xml:space="preserve">The system of using accumulated volumes (Carry forward) does not replace a production permit. The application for production permit for the following gas year must contain an overview of the origin of the accumulated volumes, the balance and the expected extraction of such volume for the current gas year. </w:t>
      </w:r>
    </w:p>
    <w:p w14:paraId="70BFBAC0" w14:textId="77777777" w:rsidR="00BC02B9" w:rsidRDefault="00BC02B9" w:rsidP="00BC02B9">
      <w:pPr>
        <w:pStyle w:val="Brdtekst"/>
        <w:rPr>
          <w:lang w:val="en-GB"/>
        </w:rPr>
      </w:pPr>
    </w:p>
    <w:p w14:paraId="6AC6265F" w14:textId="3548AAED" w:rsidR="00BC02B9" w:rsidRDefault="00BC02B9" w:rsidP="00BC02B9">
      <w:pPr>
        <w:pStyle w:val="Brdtekst"/>
        <w:rPr>
          <w:lang w:val="en-GB"/>
        </w:rPr>
      </w:pPr>
      <w:r>
        <w:rPr>
          <w:lang w:val="en-GB"/>
        </w:rPr>
        <w:t xml:space="preserve">However, the opportunity to use accumulated volumes do not apply if such withdrawal is not in line with good resource management. Furthermore, such withdrawal must not </w:t>
      </w:r>
      <w:proofErr w:type="gramStart"/>
      <w:r>
        <w:rPr>
          <w:lang w:val="en-GB"/>
        </w:rPr>
        <w:t>be in conflict with</w:t>
      </w:r>
      <w:proofErr w:type="gramEnd"/>
      <w:r>
        <w:rPr>
          <w:lang w:val="en-GB"/>
        </w:rPr>
        <w:t xml:space="preserve"> the recovery strategy described in the current PDO and Annual status report. See also section 6 regarding discrepancies and changes in current permits. </w:t>
      </w:r>
    </w:p>
    <w:p w14:paraId="4EBB03AC" w14:textId="0FBA0923" w:rsidR="00BC02B9" w:rsidRPr="00AF5B93" w:rsidRDefault="00BC02B9" w:rsidP="00D32207">
      <w:pPr>
        <w:pStyle w:val="Overskrift1"/>
        <w:numPr>
          <w:ilvl w:val="0"/>
          <w:numId w:val="5"/>
        </w:numPr>
        <w:rPr>
          <w:lang w:val="en-GB"/>
        </w:rPr>
      </w:pPr>
      <w:bookmarkStart w:id="79" w:name="_Toc52977200"/>
      <w:bookmarkStart w:id="80" w:name="_Toc138670751"/>
      <w:bookmarkStart w:id="81" w:name="_Toc200454828"/>
      <w:r w:rsidRPr="00722984">
        <w:rPr>
          <w:lang w:val="en-GB"/>
        </w:rPr>
        <w:lastRenderedPageBreak/>
        <w:t xml:space="preserve">Discrepancies and </w:t>
      </w:r>
      <w:r w:rsidR="00AA4DF7">
        <w:rPr>
          <w:lang w:val="en-GB"/>
        </w:rPr>
        <w:t>C</w:t>
      </w:r>
      <w:r w:rsidRPr="00722984">
        <w:rPr>
          <w:lang w:val="en-GB"/>
        </w:rPr>
        <w:t xml:space="preserve">hanges in </w:t>
      </w:r>
      <w:r w:rsidR="00AA4DF7">
        <w:rPr>
          <w:lang w:val="en-GB"/>
        </w:rPr>
        <w:t>E</w:t>
      </w:r>
      <w:r w:rsidRPr="00722984">
        <w:rPr>
          <w:lang w:val="en-GB"/>
        </w:rPr>
        <w:t xml:space="preserve">xisting </w:t>
      </w:r>
      <w:r w:rsidR="00AA4DF7">
        <w:rPr>
          <w:lang w:val="en-GB"/>
        </w:rPr>
        <w:t>P</w:t>
      </w:r>
      <w:r w:rsidRPr="00AF5B93">
        <w:rPr>
          <w:lang w:val="en-GB"/>
        </w:rPr>
        <w:t>ermits</w:t>
      </w:r>
      <w:bookmarkEnd w:id="79"/>
      <w:bookmarkEnd w:id="80"/>
      <w:bookmarkEnd w:id="81"/>
    </w:p>
    <w:p w14:paraId="54B9A822" w14:textId="06F771BB" w:rsidR="00BC02B9" w:rsidRPr="00857572" w:rsidRDefault="00D22A1B" w:rsidP="00D32207">
      <w:pPr>
        <w:pStyle w:val="Overskrift2"/>
        <w:numPr>
          <w:ilvl w:val="1"/>
          <w:numId w:val="5"/>
        </w:numPr>
        <w:rPr>
          <w:lang w:val="en-GB"/>
        </w:rPr>
      </w:pPr>
      <w:bookmarkStart w:id="82" w:name="_Toc170820647"/>
      <w:bookmarkStart w:id="83" w:name="_Toc170820671"/>
      <w:bookmarkStart w:id="84" w:name="_Toc173488628"/>
      <w:bookmarkStart w:id="85" w:name="_Toc138670752"/>
      <w:bookmarkEnd w:id="82"/>
      <w:bookmarkEnd w:id="83"/>
      <w:bookmarkEnd w:id="84"/>
      <w:r>
        <w:rPr>
          <w:lang w:val="en-GB"/>
        </w:rPr>
        <w:t xml:space="preserve"> </w:t>
      </w:r>
      <w:bookmarkStart w:id="86" w:name="_Toc200454829"/>
      <w:r w:rsidR="00BC02B9" w:rsidRPr="00857572">
        <w:rPr>
          <w:lang w:val="en-GB"/>
        </w:rPr>
        <w:t>Production</w:t>
      </w:r>
      <w:r w:rsidR="00BC02B9">
        <w:rPr>
          <w:lang w:val="en-GB"/>
        </w:rPr>
        <w:t xml:space="preserve"> </w:t>
      </w:r>
      <w:r w:rsidR="005B0777">
        <w:rPr>
          <w:lang w:val="en-GB"/>
        </w:rPr>
        <w:t>P</w:t>
      </w:r>
      <w:r w:rsidR="00BC02B9">
        <w:rPr>
          <w:lang w:val="en-GB"/>
        </w:rPr>
        <w:t xml:space="preserve">ermits per </w:t>
      </w:r>
      <w:r w:rsidR="005B0777">
        <w:rPr>
          <w:lang w:val="en-GB"/>
        </w:rPr>
        <w:t>C</w:t>
      </w:r>
      <w:r w:rsidR="00BC02B9">
        <w:rPr>
          <w:lang w:val="en-GB"/>
        </w:rPr>
        <w:t>alendar year</w:t>
      </w:r>
      <w:bookmarkEnd w:id="85"/>
      <w:bookmarkEnd w:id="86"/>
    </w:p>
    <w:p w14:paraId="4312A9F3" w14:textId="788055C6" w:rsidR="00510EEE" w:rsidRPr="00857572" w:rsidRDefault="00AB2A41" w:rsidP="00510EEE">
      <w:pPr>
        <w:rPr>
          <w:lang w:val="en-GB"/>
        </w:rPr>
      </w:pPr>
      <w:bookmarkStart w:id="87" w:name="_Hlk52368324"/>
      <w:r>
        <w:rPr>
          <w:lang w:val="en-GB"/>
        </w:rPr>
        <w:t>I</w:t>
      </w:r>
      <w:r w:rsidRPr="00857572">
        <w:rPr>
          <w:lang w:val="en-GB"/>
        </w:rPr>
        <w:t>f it is presumed</w:t>
      </w:r>
      <w:r w:rsidR="00C8087D">
        <w:rPr>
          <w:lang w:val="en-GB"/>
        </w:rPr>
        <w:t xml:space="preserve"> </w:t>
      </w:r>
      <w:r w:rsidRPr="00857572">
        <w:rPr>
          <w:lang w:val="en-GB"/>
        </w:rPr>
        <w:t>that the production of liquids (oil, NGL and condensate</w:t>
      </w:r>
      <w:r w:rsidR="00AD68E0">
        <w:rPr>
          <w:lang w:val="en-GB"/>
        </w:rPr>
        <w:t>)</w:t>
      </w:r>
      <w:r w:rsidR="00382EF3">
        <w:rPr>
          <w:rStyle w:val="Fotnotereferanse"/>
          <w:lang w:val="en-GB"/>
        </w:rPr>
        <w:footnoteReference w:id="4"/>
      </w:r>
      <w:r w:rsidR="00ED49C9">
        <w:rPr>
          <w:lang w:val="en-GB"/>
        </w:rPr>
        <w:t xml:space="preserve"> </w:t>
      </w:r>
      <w:r w:rsidR="00631A3B">
        <w:rPr>
          <w:lang w:val="en-GB"/>
        </w:rPr>
        <w:t xml:space="preserve">or gas </w:t>
      </w:r>
      <w:r w:rsidRPr="00857572">
        <w:rPr>
          <w:lang w:val="en-GB"/>
        </w:rPr>
        <w:t>will exceed the level in the existing production permit by 10 per</w:t>
      </w:r>
      <w:r w:rsidR="00064D19">
        <w:rPr>
          <w:lang w:val="en-GB"/>
        </w:rPr>
        <w:t xml:space="preserve"> </w:t>
      </w:r>
      <w:r w:rsidRPr="00857572">
        <w:rPr>
          <w:lang w:val="en-GB"/>
        </w:rPr>
        <w:t>cent or more</w:t>
      </w:r>
      <w:r w:rsidR="006958C5">
        <w:rPr>
          <w:lang w:val="en-GB"/>
        </w:rPr>
        <w:t xml:space="preserve">, </w:t>
      </w:r>
      <w:r w:rsidR="004D574C">
        <w:rPr>
          <w:lang w:val="en-GB"/>
        </w:rPr>
        <w:t xml:space="preserve">the </w:t>
      </w:r>
      <w:r w:rsidR="00282D19">
        <w:rPr>
          <w:lang w:val="en-GB"/>
        </w:rPr>
        <w:t>licensees</w:t>
      </w:r>
      <w:r w:rsidR="004D574C">
        <w:rPr>
          <w:lang w:val="en-GB"/>
        </w:rPr>
        <w:t xml:space="preserve"> must </w:t>
      </w:r>
      <w:r w:rsidR="00282D19">
        <w:rPr>
          <w:lang w:val="en-GB"/>
        </w:rPr>
        <w:t xml:space="preserve">submit </w:t>
      </w:r>
      <w:r w:rsidR="00BC02B9" w:rsidRPr="00857572">
        <w:rPr>
          <w:lang w:val="en-GB"/>
        </w:rPr>
        <w:t xml:space="preserve">a revised application to the </w:t>
      </w:r>
      <w:r w:rsidR="00CA5323" w:rsidRPr="00857572">
        <w:rPr>
          <w:lang w:val="en-GB"/>
        </w:rPr>
        <w:t>M</w:t>
      </w:r>
      <w:r w:rsidR="00CA5323">
        <w:rPr>
          <w:lang w:val="en-GB"/>
        </w:rPr>
        <w:t>inistry</w:t>
      </w:r>
      <w:r w:rsidR="00BC02B9" w:rsidRPr="00857572">
        <w:rPr>
          <w:lang w:val="en-GB"/>
        </w:rPr>
        <w:t xml:space="preserve">, with a copy to the </w:t>
      </w:r>
      <w:r w:rsidR="00E22E87">
        <w:rPr>
          <w:lang w:val="en-GB"/>
        </w:rPr>
        <w:t>D</w:t>
      </w:r>
      <w:r w:rsidR="00AD6752">
        <w:rPr>
          <w:lang w:val="en-GB"/>
        </w:rPr>
        <w:t>irectorate</w:t>
      </w:r>
      <w:r w:rsidR="00BC02B9" w:rsidRPr="00857572">
        <w:rPr>
          <w:lang w:val="en-GB"/>
        </w:rPr>
        <w:t>.</w:t>
      </w:r>
      <w:r w:rsidR="00BC02B9">
        <w:rPr>
          <w:lang w:val="en-GB"/>
        </w:rPr>
        <w:t xml:space="preserve"> </w:t>
      </w:r>
      <w:r w:rsidR="00510EEE" w:rsidRPr="00857572">
        <w:rPr>
          <w:lang w:val="en-GB"/>
        </w:rPr>
        <w:t xml:space="preserve">As a basis for revised production permits, the licensees </w:t>
      </w:r>
      <w:r w:rsidR="00510EEE">
        <w:rPr>
          <w:lang w:val="en-GB"/>
        </w:rPr>
        <w:t>are requested</w:t>
      </w:r>
      <w:r w:rsidR="00510EEE" w:rsidRPr="00857572">
        <w:rPr>
          <w:lang w:val="en-GB"/>
        </w:rPr>
        <w:t xml:space="preserve"> to state the volumes approved in the existing production permit, as well as </w:t>
      </w:r>
      <w:proofErr w:type="gramStart"/>
      <w:r w:rsidR="00510EEE" w:rsidRPr="00857572">
        <w:rPr>
          <w:lang w:val="en-GB"/>
        </w:rPr>
        <w:t>actually produced</w:t>
      </w:r>
      <w:proofErr w:type="gramEnd"/>
      <w:r w:rsidR="00510EEE" w:rsidRPr="00857572">
        <w:rPr>
          <w:lang w:val="en-GB"/>
        </w:rPr>
        <w:t xml:space="preserve"> and expected production for the calendar year.</w:t>
      </w:r>
    </w:p>
    <w:p w14:paraId="36C87BD2" w14:textId="1F7BDE14" w:rsidR="00510EEE" w:rsidRDefault="00510EEE" w:rsidP="00BC02B9">
      <w:pPr>
        <w:pStyle w:val="Merknadstekst"/>
        <w:rPr>
          <w:sz w:val="22"/>
          <w:szCs w:val="22"/>
          <w:lang w:val="en-GB"/>
        </w:rPr>
      </w:pPr>
    </w:p>
    <w:p w14:paraId="15A7CD6F" w14:textId="6E6789D5" w:rsidR="00BC02B9" w:rsidRPr="00857572" w:rsidRDefault="00BC02B9" w:rsidP="00BC02B9">
      <w:pPr>
        <w:pStyle w:val="Merknadstekst"/>
        <w:rPr>
          <w:sz w:val="22"/>
          <w:szCs w:val="22"/>
          <w:lang w:val="en-GB"/>
        </w:rPr>
      </w:pPr>
      <w:r w:rsidRPr="00857572">
        <w:rPr>
          <w:sz w:val="22"/>
          <w:szCs w:val="22"/>
          <w:lang w:val="en-GB"/>
        </w:rPr>
        <w:t xml:space="preserve">If </w:t>
      </w:r>
      <w:r w:rsidR="00373A94">
        <w:rPr>
          <w:sz w:val="22"/>
          <w:szCs w:val="22"/>
          <w:lang w:val="en-GB"/>
        </w:rPr>
        <w:t xml:space="preserve">it is </w:t>
      </w:r>
      <w:r w:rsidR="001F108C" w:rsidRPr="00857572">
        <w:rPr>
          <w:sz w:val="22"/>
          <w:szCs w:val="22"/>
          <w:lang w:val="en-GB"/>
        </w:rPr>
        <w:t xml:space="preserve">presumed </w:t>
      </w:r>
      <w:r w:rsidR="00373A94">
        <w:rPr>
          <w:sz w:val="22"/>
          <w:szCs w:val="22"/>
          <w:lang w:val="en-GB"/>
        </w:rPr>
        <w:t xml:space="preserve">that </w:t>
      </w:r>
      <w:r w:rsidRPr="00857572">
        <w:rPr>
          <w:sz w:val="22"/>
          <w:szCs w:val="22"/>
          <w:lang w:val="en-GB"/>
        </w:rPr>
        <w:t xml:space="preserve">the production of liquids or gas </w:t>
      </w:r>
      <w:r w:rsidR="00373A94">
        <w:rPr>
          <w:sz w:val="22"/>
          <w:szCs w:val="22"/>
          <w:lang w:val="en-GB"/>
        </w:rPr>
        <w:t>will be</w:t>
      </w:r>
      <w:r w:rsidR="00373A94" w:rsidRPr="00857572">
        <w:rPr>
          <w:sz w:val="22"/>
          <w:szCs w:val="22"/>
          <w:lang w:val="en-GB"/>
        </w:rPr>
        <w:t xml:space="preserve"> </w:t>
      </w:r>
      <w:r w:rsidRPr="00857572">
        <w:rPr>
          <w:sz w:val="22"/>
          <w:szCs w:val="22"/>
          <w:lang w:val="en-GB"/>
        </w:rPr>
        <w:t>reduced by 10 per</w:t>
      </w:r>
      <w:r w:rsidR="00064D19">
        <w:rPr>
          <w:sz w:val="22"/>
          <w:szCs w:val="22"/>
          <w:lang w:val="en-GB"/>
        </w:rPr>
        <w:t xml:space="preserve"> </w:t>
      </w:r>
      <w:r w:rsidRPr="00857572">
        <w:rPr>
          <w:sz w:val="22"/>
          <w:szCs w:val="22"/>
          <w:lang w:val="en-GB"/>
        </w:rPr>
        <w:t xml:space="preserve">cent or more </w:t>
      </w:r>
      <w:r>
        <w:rPr>
          <w:sz w:val="22"/>
          <w:szCs w:val="22"/>
          <w:lang w:val="en-GB"/>
        </w:rPr>
        <w:t>compared</w:t>
      </w:r>
      <w:r w:rsidRPr="00857572">
        <w:rPr>
          <w:sz w:val="22"/>
          <w:szCs w:val="22"/>
          <w:lang w:val="en-GB"/>
        </w:rPr>
        <w:t xml:space="preserve"> to the existing production permit, </w:t>
      </w:r>
      <w:r w:rsidR="001E2B5D">
        <w:rPr>
          <w:sz w:val="22"/>
          <w:szCs w:val="22"/>
          <w:lang w:val="en-GB"/>
        </w:rPr>
        <w:t xml:space="preserve">the </w:t>
      </w:r>
      <w:r w:rsidR="00457278">
        <w:rPr>
          <w:sz w:val="22"/>
          <w:szCs w:val="22"/>
          <w:lang w:val="en-GB"/>
        </w:rPr>
        <w:t>licensees</w:t>
      </w:r>
      <w:r w:rsidR="001E2B5D">
        <w:rPr>
          <w:sz w:val="22"/>
          <w:szCs w:val="22"/>
          <w:lang w:val="en-GB"/>
        </w:rPr>
        <w:t xml:space="preserve"> must </w:t>
      </w:r>
      <w:r w:rsidR="00457278">
        <w:rPr>
          <w:sz w:val="22"/>
          <w:szCs w:val="22"/>
          <w:lang w:val="en-GB"/>
        </w:rPr>
        <w:t xml:space="preserve">inform </w:t>
      </w:r>
      <w:r w:rsidRPr="00857572">
        <w:rPr>
          <w:sz w:val="22"/>
          <w:szCs w:val="22"/>
          <w:lang w:val="en-GB"/>
        </w:rPr>
        <w:t xml:space="preserve">the </w:t>
      </w:r>
      <w:r w:rsidR="00F6116E" w:rsidRPr="00857572">
        <w:rPr>
          <w:sz w:val="22"/>
          <w:szCs w:val="22"/>
          <w:lang w:val="en-GB"/>
        </w:rPr>
        <w:t>M</w:t>
      </w:r>
      <w:r w:rsidR="00F6116E">
        <w:rPr>
          <w:sz w:val="22"/>
          <w:szCs w:val="22"/>
          <w:lang w:val="en-GB"/>
        </w:rPr>
        <w:t>inistry</w:t>
      </w:r>
      <w:r w:rsidR="00457278">
        <w:rPr>
          <w:sz w:val="22"/>
          <w:szCs w:val="22"/>
          <w:lang w:val="en-GB"/>
        </w:rPr>
        <w:t xml:space="preserve"> and </w:t>
      </w:r>
      <w:r w:rsidRPr="00857572">
        <w:rPr>
          <w:sz w:val="22"/>
          <w:szCs w:val="22"/>
          <w:lang w:val="en-GB"/>
        </w:rPr>
        <w:t xml:space="preserve">the </w:t>
      </w:r>
      <w:r w:rsidR="00457278">
        <w:rPr>
          <w:sz w:val="22"/>
          <w:szCs w:val="22"/>
          <w:lang w:val="en-GB"/>
        </w:rPr>
        <w:t>D</w:t>
      </w:r>
      <w:r w:rsidR="00F80B3E">
        <w:rPr>
          <w:sz w:val="22"/>
          <w:szCs w:val="22"/>
          <w:lang w:val="en-GB"/>
        </w:rPr>
        <w:t>irectorate</w:t>
      </w:r>
      <w:r w:rsidRPr="00857572">
        <w:rPr>
          <w:sz w:val="22"/>
          <w:szCs w:val="22"/>
          <w:lang w:val="en-GB"/>
        </w:rPr>
        <w:t xml:space="preserve"> as soon as possible. The reason for th</w:t>
      </w:r>
      <w:r>
        <w:rPr>
          <w:sz w:val="22"/>
          <w:szCs w:val="22"/>
          <w:lang w:val="en-GB"/>
        </w:rPr>
        <w:t>e</w:t>
      </w:r>
      <w:r w:rsidRPr="00857572">
        <w:rPr>
          <w:sz w:val="22"/>
          <w:szCs w:val="22"/>
          <w:lang w:val="en-GB"/>
        </w:rPr>
        <w:t xml:space="preserve"> reduction shall be stated.</w:t>
      </w:r>
    </w:p>
    <w:p w14:paraId="6180D205" w14:textId="77777777" w:rsidR="00BC02B9" w:rsidRDefault="00BC02B9" w:rsidP="00BC02B9">
      <w:pPr>
        <w:rPr>
          <w:lang w:val="en-GB"/>
        </w:rPr>
      </w:pPr>
    </w:p>
    <w:p w14:paraId="23BD1A8C" w14:textId="77777777" w:rsidR="007A1C8A" w:rsidRPr="00857572" w:rsidRDefault="007A1C8A" w:rsidP="007A1C8A">
      <w:pPr>
        <w:pStyle w:val="Merknadstekst"/>
        <w:rPr>
          <w:sz w:val="22"/>
          <w:szCs w:val="22"/>
          <w:lang w:val="en-GB"/>
        </w:rPr>
      </w:pPr>
      <w:r>
        <w:rPr>
          <w:sz w:val="22"/>
          <w:szCs w:val="22"/>
          <w:lang w:val="en-GB"/>
        </w:rPr>
        <w:t xml:space="preserve">This flexibility does not apply for permitted injection volumes or flaring and </w:t>
      </w:r>
      <w:proofErr w:type="gramStart"/>
      <w:r>
        <w:rPr>
          <w:sz w:val="22"/>
          <w:szCs w:val="22"/>
          <w:lang w:val="en-GB"/>
        </w:rPr>
        <w:t>cold-venting</w:t>
      </w:r>
      <w:proofErr w:type="gramEnd"/>
      <w:r>
        <w:rPr>
          <w:sz w:val="22"/>
          <w:szCs w:val="22"/>
          <w:lang w:val="en-GB"/>
        </w:rPr>
        <w:t>, see section 6.3 and 6.4.</w:t>
      </w:r>
    </w:p>
    <w:bookmarkEnd w:id="87"/>
    <w:p w14:paraId="4E6B0E21" w14:textId="77777777" w:rsidR="00BC02B9" w:rsidRPr="00857572" w:rsidRDefault="00BC02B9" w:rsidP="00BC02B9">
      <w:pPr>
        <w:pStyle w:val="Merknadstekst"/>
        <w:rPr>
          <w:sz w:val="22"/>
          <w:szCs w:val="22"/>
          <w:lang w:val="en-GB"/>
        </w:rPr>
      </w:pPr>
    </w:p>
    <w:p w14:paraId="7C09E652" w14:textId="335C9637" w:rsidR="00BC02B9" w:rsidRPr="00857572" w:rsidRDefault="009447AE" w:rsidP="00D32207">
      <w:pPr>
        <w:pStyle w:val="Overskrift2"/>
        <w:numPr>
          <w:ilvl w:val="1"/>
          <w:numId w:val="5"/>
        </w:numPr>
        <w:rPr>
          <w:lang w:val="en-GB"/>
        </w:rPr>
      </w:pPr>
      <w:bookmarkStart w:id="88" w:name="_Toc52977202"/>
      <w:bookmarkStart w:id="89" w:name="_Toc138670753"/>
      <w:r>
        <w:rPr>
          <w:lang w:val="en-GB"/>
        </w:rPr>
        <w:t xml:space="preserve"> </w:t>
      </w:r>
      <w:bookmarkStart w:id="90" w:name="_Toc200454830"/>
      <w:r w:rsidR="00BC02B9" w:rsidRPr="00857572">
        <w:rPr>
          <w:lang w:val="en-GB"/>
        </w:rPr>
        <w:t xml:space="preserve">Special </w:t>
      </w:r>
      <w:r w:rsidR="009005B3">
        <w:rPr>
          <w:lang w:val="en-GB"/>
        </w:rPr>
        <w:t>P</w:t>
      </w:r>
      <w:r w:rsidR="00BC02B9" w:rsidRPr="00857572">
        <w:rPr>
          <w:lang w:val="en-GB"/>
        </w:rPr>
        <w:t xml:space="preserve">ermits for </w:t>
      </w:r>
      <w:r w:rsidR="009005B3">
        <w:rPr>
          <w:lang w:val="en-GB"/>
        </w:rPr>
        <w:t>G</w:t>
      </w:r>
      <w:r w:rsidR="00BC02B9" w:rsidRPr="00857572">
        <w:rPr>
          <w:lang w:val="en-GB"/>
        </w:rPr>
        <w:t>as</w:t>
      </w:r>
      <w:bookmarkEnd w:id="88"/>
      <w:bookmarkEnd w:id="89"/>
      <w:bookmarkEnd w:id="90"/>
      <w:r w:rsidR="00BC02B9" w:rsidRPr="00857572">
        <w:rPr>
          <w:lang w:val="en-GB"/>
        </w:rPr>
        <w:t xml:space="preserve"> </w:t>
      </w:r>
    </w:p>
    <w:p w14:paraId="22D5CBEE" w14:textId="151FA8CB" w:rsidR="00BC02B9" w:rsidRPr="00857572" w:rsidRDefault="00BC02B9" w:rsidP="00BC02B9">
      <w:pPr>
        <w:spacing w:after="200" w:line="276" w:lineRule="auto"/>
        <w:rPr>
          <w:lang w:val="en-GB"/>
        </w:rPr>
      </w:pPr>
      <w:r>
        <w:rPr>
          <w:lang w:val="en-GB"/>
        </w:rPr>
        <w:t>There is no flexibility for special permits for gas (reduction or increasing by 10 per</w:t>
      </w:r>
      <w:r w:rsidR="00064D19">
        <w:rPr>
          <w:lang w:val="en-GB"/>
        </w:rPr>
        <w:t xml:space="preserve"> </w:t>
      </w:r>
      <w:r>
        <w:rPr>
          <w:lang w:val="en-GB"/>
        </w:rPr>
        <w:t xml:space="preserve">cent as there is for permits per calendar year), see section 6.1. The volumes granted in a special gas permit are maximum volumes. </w:t>
      </w:r>
      <w:r w:rsidRPr="00857572">
        <w:rPr>
          <w:lang w:val="en-GB"/>
        </w:rPr>
        <w:t>Licensees can apply for a revised production permit</w:t>
      </w:r>
      <w:r>
        <w:rPr>
          <w:lang w:val="en-GB"/>
        </w:rPr>
        <w:t xml:space="preserve"> if the production will exceed the granted volumes</w:t>
      </w:r>
      <w:r w:rsidRPr="00857572">
        <w:rPr>
          <w:lang w:val="en-GB"/>
        </w:rPr>
        <w:t>.</w:t>
      </w:r>
      <w:r>
        <w:rPr>
          <w:lang w:val="en-GB"/>
        </w:rPr>
        <w:t xml:space="preserve"> </w:t>
      </w:r>
      <w:r w:rsidRPr="00142F96">
        <w:rPr>
          <w:lang w:val="en-GB"/>
        </w:rPr>
        <w:t xml:space="preserve">For withdrawal of accumulated </w:t>
      </w:r>
      <w:r>
        <w:rPr>
          <w:lang w:val="en-GB"/>
        </w:rPr>
        <w:t xml:space="preserve">gas </w:t>
      </w:r>
      <w:r w:rsidRPr="00142F96">
        <w:rPr>
          <w:lang w:val="en-GB"/>
        </w:rPr>
        <w:t>volume</w:t>
      </w:r>
      <w:r>
        <w:rPr>
          <w:lang w:val="en-GB"/>
        </w:rPr>
        <w:t>s</w:t>
      </w:r>
      <w:r w:rsidRPr="00142F96">
        <w:rPr>
          <w:lang w:val="en-GB"/>
        </w:rPr>
        <w:t xml:space="preserve"> see </w:t>
      </w:r>
      <w:r>
        <w:rPr>
          <w:lang w:val="en-GB"/>
        </w:rPr>
        <w:t>section</w:t>
      </w:r>
      <w:r w:rsidRPr="00142F96">
        <w:rPr>
          <w:lang w:val="en-GB"/>
        </w:rPr>
        <w:t xml:space="preserve"> 5.3.</w:t>
      </w:r>
    </w:p>
    <w:p w14:paraId="7EFD31EA" w14:textId="77777777" w:rsidR="00BC02B9" w:rsidRDefault="00BC02B9" w:rsidP="00BC02B9">
      <w:pPr>
        <w:rPr>
          <w:lang w:val="en-GB"/>
        </w:rPr>
      </w:pPr>
      <w:r>
        <w:rPr>
          <w:lang w:val="en-GB"/>
        </w:rPr>
        <w:t xml:space="preserve">If the volumes for the upcoming gas year deviates from a </w:t>
      </w:r>
      <w:proofErr w:type="gramStart"/>
      <w:r>
        <w:rPr>
          <w:lang w:val="en-GB"/>
        </w:rPr>
        <w:t>long term</w:t>
      </w:r>
      <w:proofErr w:type="gramEnd"/>
      <w:r>
        <w:rPr>
          <w:lang w:val="en-GB"/>
        </w:rPr>
        <w:t xml:space="preserve"> permit, we kindly ask the licensees to apply for a revised permit by </w:t>
      </w:r>
      <w:r w:rsidRPr="00857572">
        <w:rPr>
          <w:lang w:val="en-GB"/>
        </w:rPr>
        <w:t>February 1</w:t>
      </w:r>
      <w:r w:rsidRPr="000C23F1">
        <w:rPr>
          <w:vertAlign w:val="superscript"/>
          <w:lang w:val="en-GB"/>
        </w:rPr>
        <w:t>st</w:t>
      </w:r>
      <w:r>
        <w:rPr>
          <w:lang w:val="en-GB"/>
        </w:rPr>
        <w:t>.</w:t>
      </w:r>
    </w:p>
    <w:p w14:paraId="5270D0A6" w14:textId="77777777" w:rsidR="00BC02B9" w:rsidRPr="00857572" w:rsidRDefault="00BC02B9" w:rsidP="00BC02B9">
      <w:pPr>
        <w:rPr>
          <w:lang w:val="en-GB"/>
        </w:rPr>
      </w:pPr>
    </w:p>
    <w:p w14:paraId="4D0146D9" w14:textId="448E06F9" w:rsidR="00BC02B9" w:rsidRPr="000C23F1" w:rsidRDefault="002653F9" w:rsidP="00D32207">
      <w:pPr>
        <w:pStyle w:val="Overskrift2"/>
        <w:numPr>
          <w:ilvl w:val="1"/>
          <w:numId w:val="5"/>
        </w:numPr>
        <w:rPr>
          <w:lang w:val="en-GB"/>
        </w:rPr>
      </w:pPr>
      <w:bookmarkStart w:id="91" w:name="_Toc52977203"/>
      <w:bookmarkStart w:id="92" w:name="_Toc138670754"/>
      <w:r>
        <w:rPr>
          <w:lang w:val="en-GB"/>
        </w:rPr>
        <w:t xml:space="preserve"> </w:t>
      </w:r>
      <w:bookmarkStart w:id="93" w:name="_Toc200454831"/>
      <w:r w:rsidR="00BC02B9" w:rsidRPr="000C23F1">
        <w:rPr>
          <w:lang w:val="en-GB"/>
        </w:rPr>
        <w:t xml:space="preserve">Flaring and </w:t>
      </w:r>
      <w:proofErr w:type="gramStart"/>
      <w:r w:rsidR="00B00CEE">
        <w:rPr>
          <w:lang w:val="en-GB"/>
        </w:rPr>
        <w:t>C</w:t>
      </w:r>
      <w:r w:rsidR="00BC02B9" w:rsidRPr="000C23F1">
        <w:rPr>
          <w:lang w:val="en-GB"/>
        </w:rPr>
        <w:t>old-venting</w:t>
      </w:r>
      <w:bookmarkEnd w:id="91"/>
      <w:bookmarkEnd w:id="92"/>
      <w:bookmarkEnd w:id="93"/>
      <w:proofErr w:type="gramEnd"/>
      <w:r w:rsidR="00BC02B9" w:rsidRPr="000C23F1">
        <w:rPr>
          <w:lang w:val="en-GB"/>
        </w:rPr>
        <w:t xml:space="preserve"> </w:t>
      </w:r>
    </w:p>
    <w:p w14:paraId="65C1869C" w14:textId="4DE40E46" w:rsidR="004803D2" w:rsidRDefault="00F72972" w:rsidP="00BC02B9">
      <w:pPr>
        <w:pStyle w:val="Brdtekst"/>
        <w:rPr>
          <w:lang w:val="en-GB"/>
        </w:rPr>
      </w:pPr>
      <w:r>
        <w:rPr>
          <w:lang w:val="en-GB"/>
        </w:rPr>
        <w:t xml:space="preserve">Permission for </w:t>
      </w:r>
      <w:r w:rsidR="00932CCA">
        <w:rPr>
          <w:lang w:val="en-GB"/>
        </w:rPr>
        <w:t>flaring</w:t>
      </w:r>
      <w:r w:rsidR="005F6910">
        <w:rPr>
          <w:lang w:val="en-GB"/>
        </w:rPr>
        <w:t xml:space="preserve"> and </w:t>
      </w:r>
      <w:proofErr w:type="gramStart"/>
      <w:r w:rsidR="005F6910">
        <w:rPr>
          <w:lang w:val="en-GB"/>
        </w:rPr>
        <w:t>cold-venting</w:t>
      </w:r>
      <w:proofErr w:type="gramEnd"/>
      <w:r w:rsidR="005F6910">
        <w:rPr>
          <w:lang w:val="en-GB"/>
        </w:rPr>
        <w:t xml:space="preserve"> is granted for one calendar year</w:t>
      </w:r>
      <w:r w:rsidR="008427C2">
        <w:rPr>
          <w:lang w:val="en-GB"/>
        </w:rPr>
        <w:t xml:space="preserve"> at a time. The volumes cannot be exceeded or </w:t>
      </w:r>
      <w:r w:rsidR="00225355">
        <w:rPr>
          <w:lang w:val="en-GB"/>
        </w:rPr>
        <w:t>transferred to the next calendar year.</w:t>
      </w:r>
      <w:r w:rsidR="00BC3B62">
        <w:rPr>
          <w:lang w:val="en-GB"/>
        </w:rPr>
        <w:t xml:space="preserve"> I</w:t>
      </w:r>
      <w:r w:rsidR="00FB6113">
        <w:rPr>
          <w:lang w:val="en-GB"/>
        </w:rPr>
        <w:t>f there is a need for an extended</w:t>
      </w:r>
      <w:r w:rsidR="00C65422">
        <w:rPr>
          <w:lang w:val="en-GB"/>
        </w:rPr>
        <w:t xml:space="preserve"> quota for burning and or </w:t>
      </w:r>
      <w:proofErr w:type="gramStart"/>
      <w:r w:rsidR="00C65422">
        <w:rPr>
          <w:lang w:val="en-GB"/>
        </w:rPr>
        <w:t>cold-venting</w:t>
      </w:r>
      <w:proofErr w:type="gramEnd"/>
      <w:r w:rsidR="00C65422">
        <w:rPr>
          <w:lang w:val="en-GB"/>
        </w:rPr>
        <w:t>, a reasoned application for a revised permit must</w:t>
      </w:r>
      <w:r w:rsidR="003850B6">
        <w:rPr>
          <w:lang w:val="en-GB"/>
        </w:rPr>
        <w:t xml:space="preserve"> immediately</w:t>
      </w:r>
      <w:r w:rsidR="00C65422">
        <w:rPr>
          <w:lang w:val="en-GB"/>
        </w:rPr>
        <w:t xml:space="preserve"> be </w:t>
      </w:r>
      <w:r w:rsidR="00B60BCC">
        <w:rPr>
          <w:lang w:val="en-GB"/>
        </w:rPr>
        <w:t>submitted</w:t>
      </w:r>
      <w:r w:rsidR="00C65422">
        <w:rPr>
          <w:lang w:val="en-GB"/>
        </w:rPr>
        <w:t xml:space="preserve"> to the Ministry</w:t>
      </w:r>
      <w:r w:rsidR="00771B97">
        <w:rPr>
          <w:lang w:val="en-GB"/>
        </w:rPr>
        <w:t xml:space="preserve">, with a copy to the </w:t>
      </w:r>
      <w:r w:rsidR="00F144BE">
        <w:rPr>
          <w:lang w:val="en-GB"/>
        </w:rPr>
        <w:t>D</w:t>
      </w:r>
      <w:r w:rsidR="00623603">
        <w:rPr>
          <w:lang w:val="en-GB"/>
        </w:rPr>
        <w:t>irectorate</w:t>
      </w:r>
      <w:r w:rsidR="000D3AB7">
        <w:rPr>
          <w:lang w:val="en-GB"/>
        </w:rPr>
        <w:t>.</w:t>
      </w:r>
    </w:p>
    <w:p w14:paraId="5615E1BC" w14:textId="77777777" w:rsidR="00BC02B9" w:rsidRDefault="00BC02B9" w:rsidP="00BC02B9">
      <w:pPr>
        <w:pStyle w:val="Brdtekst"/>
        <w:rPr>
          <w:lang w:val="en-GB"/>
        </w:rPr>
      </w:pPr>
    </w:p>
    <w:p w14:paraId="2081CD67" w14:textId="55BF88FE" w:rsidR="00BC02B9" w:rsidRDefault="00BC02B9" w:rsidP="00BC02B9">
      <w:pPr>
        <w:pStyle w:val="Brdtekst"/>
        <w:rPr>
          <w:lang w:val="en-GB"/>
        </w:rPr>
      </w:pPr>
      <w:r w:rsidRPr="007C74CA">
        <w:rPr>
          <w:lang w:val="en-GB"/>
        </w:rPr>
        <w:t xml:space="preserve">Applications for an increased quota shall include an account/clarification of the factors listed in </w:t>
      </w:r>
      <w:r w:rsidR="0023414D">
        <w:rPr>
          <w:lang w:val="en-GB"/>
        </w:rPr>
        <w:t>a</w:t>
      </w:r>
      <w:r w:rsidRPr="007C74CA">
        <w:rPr>
          <w:lang w:val="en-GB"/>
        </w:rPr>
        <w:t>ppendix 2.</w:t>
      </w:r>
    </w:p>
    <w:p w14:paraId="2EB1B5AC" w14:textId="77777777" w:rsidR="00BC02B9" w:rsidRDefault="00BC02B9" w:rsidP="00BC02B9">
      <w:pPr>
        <w:pStyle w:val="Brdtekst"/>
        <w:rPr>
          <w:lang w:val="en-GB"/>
        </w:rPr>
      </w:pPr>
    </w:p>
    <w:p w14:paraId="7293455F" w14:textId="2FF763B9" w:rsidR="00BC02B9" w:rsidRDefault="00BC02B9" w:rsidP="00D32207">
      <w:pPr>
        <w:pStyle w:val="Overskrift2"/>
        <w:numPr>
          <w:ilvl w:val="1"/>
          <w:numId w:val="5"/>
        </w:numPr>
        <w:rPr>
          <w:lang w:val="en-GB"/>
        </w:rPr>
      </w:pPr>
      <w:r>
        <w:rPr>
          <w:lang w:val="en-GB"/>
        </w:rPr>
        <w:t xml:space="preserve"> </w:t>
      </w:r>
      <w:bookmarkStart w:id="94" w:name="_Toc138670755"/>
      <w:bookmarkStart w:id="95" w:name="_Toc200454832"/>
      <w:r>
        <w:rPr>
          <w:lang w:val="en-GB"/>
        </w:rPr>
        <w:t xml:space="preserve">Injection of </w:t>
      </w:r>
      <w:r w:rsidR="008F5CEB">
        <w:rPr>
          <w:lang w:val="en-GB"/>
        </w:rPr>
        <w:t>G</w:t>
      </w:r>
      <w:r>
        <w:rPr>
          <w:lang w:val="en-GB"/>
        </w:rPr>
        <w:t>as</w:t>
      </w:r>
      <w:bookmarkEnd w:id="94"/>
      <w:bookmarkEnd w:id="95"/>
    </w:p>
    <w:p w14:paraId="16D94F11" w14:textId="77777777" w:rsidR="00BC02B9" w:rsidRDefault="00BC02B9" w:rsidP="00BC02B9">
      <w:pPr>
        <w:pStyle w:val="Brdtekst"/>
        <w:rPr>
          <w:lang w:val="en-GB"/>
        </w:rPr>
      </w:pPr>
      <w:r>
        <w:rPr>
          <w:lang w:val="en-GB"/>
        </w:rPr>
        <w:t>Deviations in permitted volumes for injection must not come into conflict with good resource management and/or recovery strategy as described in the current PDO and in the Annual status report. Deviations from the granted volumes for injection which entails a significant change to the recovery strategy etc. must be approved according to PA. section 4-2, subsection 7.</w:t>
      </w:r>
    </w:p>
    <w:p w14:paraId="186EA03E" w14:textId="77777777" w:rsidR="00315155" w:rsidRDefault="00315155" w:rsidP="00BC02B9">
      <w:pPr>
        <w:pStyle w:val="Brdtekst"/>
        <w:rPr>
          <w:lang w:val="en-GB"/>
        </w:rPr>
      </w:pPr>
    </w:p>
    <w:p w14:paraId="29BAF4E7" w14:textId="77777777" w:rsidR="00BC02B9" w:rsidRPr="007E3338" w:rsidRDefault="00BC02B9" w:rsidP="00BC02B9">
      <w:pPr>
        <w:pStyle w:val="Brdtekst"/>
        <w:rPr>
          <w:lang w:val="en-GB"/>
        </w:rPr>
      </w:pPr>
      <w:r>
        <w:rPr>
          <w:lang w:val="en-GB"/>
        </w:rPr>
        <w:t xml:space="preserve">If the deviation from the approved volumes for injection results in increased export of gas, beyond the granted volumes in a production permit, the licensees must apply for a revised production permit, cf. section 6.1 and 6.2. If the deviation results in increased flaring and or </w:t>
      </w:r>
      <w:proofErr w:type="gramStart"/>
      <w:r>
        <w:rPr>
          <w:lang w:val="en-GB"/>
        </w:rPr>
        <w:t>cold-venting</w:t>
      </w:r>
      <w:proofErr w:type="gramEnd"/>
      <w:r>
        <w:rPr>
          <w:lang w:val="en-GB"/>
        </w:rPr>
        <w:t xml:space="preserve"> the licensees must apply for extended quotas, cf. </w:t>
      </w:r>
      <w:r w:rsidRPr="00533A38">
        <w:rPr>
          <w:lang w:val="en-GB"/>
        </w:rPr>
        <w:t>section</w:t>
      </w:r>
      <w:r>
        <w:rPr>
          <w:lang w:val="en-GB"/>
        </w:rPr>
        <w:t xml:space="preserve"> 6.3.</w:t>
      </w:r>
    </w:p>
    <w:p w14:paraId="0451FE77" w14:textId="75BB2CBA" w:rsidR="00BC02B9" w:rsidRPr="007C74CA" w:rsidRDefault="00BC02B9" w:rsidP="00D32207">
      <w:pPr>
        <w:pStyle w:val="Overskrift1"/>
        <w:numPr>
          <w:ilvl w:val="0"/>
          <w:numId w:val="5"/>
        </w:numPr>
        <w:spacing w:before="600" w:after="120"/>
        <w:rPr>
          <w:lang w:val="en-GB"/>
        </w:rPr>
      </w:pPr>
      <w:bookmarkStart w:id="96" w:name="_Toc52977204"/>
      <w:bookmarkStart w:id="97" w:name="_Toc138670756"/>
      <w:bookmarkStart w:id="98" w:name="_Toc200454833"/>
      <w:r w:rsidRPr="007C74CA">
        <w:rPr>
          <w:lang w:val="en-GB"/>
        </w:rPr>
        <w:lastRenderedPageBreak/>
        <w:t xml:space="preserve">References to </w:t>
      </w:r>
      <w:r w:rsidR="00315155">
        <w:rPr>
          <w:lang w:val="en-GB"/>
        </w:rPr>
        <w:t>R</w:t>
      </w:r>
      <w:r w:rsidRPr="007C74CA">
        <w:rPr>
          <w:lang w:val="en-GB"/>
        </w:rPr>
        <w:t>egulations, etc.</w:t>
      </w:r>
      <w:bookmarkEnd w:id="96"/>
      <w:bookmarkEnd w:id="97"/>
      <w:bookmarkEnd w:id="98"/>
    </w:p>
    <w:p w14:paraId="6AFCD6F1" w14:textId="07FA9AC5" w:rsidR="00BC02B9" w:rsidRPr="0073617C" w:rsidRDefault="00BC02B9" w:rsidP="00BC02B9">
      <w:pPr>
        <w:spacing w:line="259" w:lineRule="auto"/>
        <w:rPr>
          <w:lang w:val="en-GB"/>
        </w:rPr>
      </w:pPr>
      <w:r w:rsidRPr="007C74CA">
        <w:rPr>
          <w:lang w:val="en-GB"/>
        </w:rPr>
        <w:t xml:space="preserve">Please note that, pursuant to </w:t>
      </w:r>
      <w:hyperlink r:id="rId23" w:anchor="Section-23" w:history="1">
        <w:r w:rsidRPr="00D77626">
          <w:rPr>
            <w:rStyle w:val="Hyperkobling"/>
            <w:lang w:val="en-GB"/>
          </w:rPr>
          <w:t>section 30a of the Regulations</w:t>
        </w:r>
      </w:hyperlink>
      <w:r w:rsidR="00B8511E">
        <w:rPr>
          <w:rStyle w:val="Hyperkobling"/>
          <w:lang w:val="en-GB"/>
        </w:rPr>
        <w:t xml:space="preserve"> to Act related to petroleum activities</w:t>
      </w:r>
      <w:r>
        <w:rPr>
          <w:lang w:val="en-GB"/>
        </w:rPr>
        <w:t xml:space="preserve">, </w:t>
      </w:r>
      <w:r w:rsidRPr="0073617C">
        <w:rPr>
          <w:lang w:val="en-GB"/>
        </w:rPr>
        <w:t xml:space="preserve">consent </w:t>
      </w:r>
      <w:r w:rsidRPr="000C23F1">
        <w:rPr>
          <w:lang w:val="en-GB"/>
        </w:rPr>
        <w:t xml:space="preserve">shall be secured before a facility or parts thereof are used for the first time; see </w:t>
      </w:r>
      <w:r w:rsidRPr="007C74CA">
        <w:rPr>
          <w:lang w:val="en-GB"/>
        </w:rPr>
        <w:t xml:space="preserve">separate guidelines for this here: </w:t>
      </w:r>
      <w:hyperlink r:id="rId24" w:history="1">
        <w:r w:rsidR="00CF3074">
          <w:rPr>
            <w:rStyle w:val="Hyperkobling"/>
            <w:lang w:val="en-GB"/>
          </w:rPr>
          <w:t>g</w:t>
        </w:r>
        <w:r w:rsidRPr="000C23F1">
          <w:rPr>
            <w:rStyle w:val="Hyperkobling"/>
            <w:lang w:val="en-GB"/>
          </w:rPr>
          <w:t xml:space="preserve">uidelines for </w:t>
        </w:r>
        <w:r>
          <w:rPr>
            <w:rStyle w:val="Hyperkobling"/>
            <w:lang w:val="en-GB"/>
          </w:rPr>
          <w:t>s</w:t>
        </w:r>
        <w:r w:rsidRPr="000C23F1">
          <w:rPr>
            <w:rStyle w:val="Hyperkobling"/>
            <w:lang w:val="en-GB"/>
          </w:rPr>
          <w:t>ection30a of the</w:t>
        </w:r>
        <w:r w:rsidR="00600F0F">
          <w:rPr>
            <w:rStyle w:val="Hyperkobling"/>
            <w:lang w:val="en-GB"/>
          </w:rPr>
          <w:t xml:space="preserve"> Regulations to Act related to petroleum activities</w:t>
        </w:r>
        <w:r w:rsidRPr="000C23F1">
          <w:rPr>
            <w:rStyle w:val="Hyperkobling"/>
            <w:u w:val="none"/>
            <w:lang w:val="en-GB"/>
          </w:rPr>
          <w:t>.</w:t>
        </w:r>
      </w:hyperlink>
    </w:p>
    <w:p w14:paraId="00CED71D" w14:textId="77777777" w:rsidR="00BC02B9" w:rsidRPr="000C23F1" w:rsidRDefault="00BC02B9" w:rsidP="00BC02B9">
      <w:pPr>
        <w:spacing w:line="259" w:lineRule="auto"/>
        <w:rPr>
          <w:lang w:val="en-GB"/>
        </w:rPr>
      </w:pPr>
    </w:p>
    <w:p w14:paraId="1A1F14E2" w14:textId="7C52A376" w:rsidR="00BC02B9" w:rsidRPr="004E2A1D" w:rsidRDefault="00BC02B9" w:rsidP="00BC02B9">
      <w:pPr>
        <w:pStyle w:val="NormalWeb"/>
        <w:spacing w:before="0" w:beforeAutospacing="0" w:after="0" w:afterAutospacing="0"/>
        <w:rPr>
          <w:rStyle w:val="Hyperkobling"/>
          <w:rFonts w:asciiTheme="minorHAnsi" w:hAnsiTheme="minorHAnsi" w:cstheme="minorBidi"/>
          <w:lang w:val="en-GB" w:eastAsia="en-US"/>
        </w:rPr>
      </w:pPr>
      <w:r w:rsidRPr="000C23F1">
        <w:rPr>
          <w:rFonts w:asciiTheme="minorHAnsi" w:hAnsiTheme="minorHAnsi" w:cstheme="minorBidi"/>
          <w:lang w:val="en-GB" w:eastAsia="en-US"/>
        </w:rPr>
        <w:t xml:space="preserve">A status report is required to start up production, cf. </w:t>
      </w:r>
      <w:hyperlink r:id="rId25" w:anchor="Chapter-1" w:history="1">
        <w:r w:rsidR="000F6DB7" w:rsidRPr="004E2A1D">
          <w:rPr>
            <w:rStyle w:val="Hyperkobling"/>
            <w:rFonts w:asciiTheme="minorHAnsi" w:hAnsiTheme="minorHAnsi" w:cstheme="minorBidi"/>
            <w:lang w:val="en-GB" w:eastAsia="en-US"/>
          </w:rPr>
          <w:t xml:space="preserve">section 32 of the </w:t>
        </w:r>
        <w:r w:rsidR="007D2181">
          <w:rPr>
            <w:rStyle w:val="Hyperkobling"/>
            <w:rFonts w:asciiTheme="minorHAnsi" w:hAnsiTheme="minorHAnsi" w:cstheme="minorBidi"/>
            <w:lang w:val="en-GB" w:eastAsia="en-US"/>
          </w:rPr>
          <w:t>R</w:t>
        </w:r>
        <w:r w:rsidR="000F6DB7" w:rsidRPr="004E2A1D">
          <w:rPr>
            <w:rStyle w:val="Hyperkobling"/>
            <w:rFonts w:asciiTheme="minorHAnsi" w:hAnsiTheme="minorHAnsi" w:cstheme="minorBidi"/>
            <w:lang w:val="en-GB" w:eastAsia="en-US"/>
          </w:rPr>
          <w:t>egulations relating to resource management in the petroleum activities</w:t>
        </w:r>
        <w:r w:rsidR="00243320" w:rsidRPr="009C1788">
          <w:rPr>
            <w:lang w:val="en-GB"/>
          </w:rPr>
          <w:t xml:space="preserve">, </w:t>
        </w:r>
        <w:r w:rsidR="007F6246" w:rsidRPr="009C1788">
          <w:rPr>
            <w:lang w:val="en-GB"/>
          </w:rPr>
          <w:t xml:space="preserve">see </w:t>
        </w:r>
        <w:r w:rsidR="003B68C8">
          <w:rPr>
            <w:lang w:val="en-GB"/>
          </w:rPr>
          <w:t xml:space="preserve">also </w:t>
        </w:r>
        <w:r w:rsidR="007F6246" w:rsidRPr="009C1788">
          <w:rPr>
            <w:lang w:val="en-GB"/>
          </w:rPr>
          <w:t>separate guidelines for this here:</w:t>
        </w:r>
      </w:hyperlink>
      <w:r w:rsidR="007F6246">
        <w:rPr>
          <w:rStyle w:val="Hyperkobling"/>
          <w:rFonts w:asciiTheme="minorHAnsi" w:hAnsiTheme="minorHAnsi" w:cstheme="minorBidi"/>
          <w:lang w:val="en-GB" w:eastAsia="en-US"/>
        </w:rPr>
        <w:t xml:space="preserve"> </w:t>
      </w:r>
      <w:hyperlink r:id="rId26" w:history="1">
        <w:r w:rsidRPr="004E2A1D">
          <w:rPr>
            <w:rStyle w:val="Hyperkobling"/>
            <w:rFonts w:asciiTheme="minorHAnsi" w:hAnsiTheme="minorHAnsi" w:cstheme="minorBidi"/>
            <w:lang w:val="en-GB" w:eastAsia="en-US"/>
          </w:rPr>
          <w:t>guidelines for status reports before starting up new fields</w:t>
        </w:r>
      </w:hyperlink>
      <w:r w:rsidRPr="004E2A1D">
        <w:rPr>
          <w:rStyle w:val="Hyperkobling"/>
          <w:rFonts w:asciiTheme="minorHAnsi" w:hAnsiTheme="minorHAnsi" w:cstheme="minorBidi"/>
          <w:lang w:val="en-GB" w:eastAsia="en-US"/>
        </w:rPr>
        <w:t>.</w:t>
      </w:r>
    </w:p>
    <w:p w14:paraId="3570CF10" w14:textId="77777777" w:rsidR="00BC02B9" w:rsidRPr="000C23F1" w:rsidRDefault="00BC02B9" w:rsidP="00BC02B9">
      <w:pPr>
        <w:spacing w:line="259" w:lineRule="auto"/>
        <w:rPr>
          <w:lang w:val="en-GB"/>
        </w:rPr>
      </w:pPr>
    </w:p>
    <w:p w14:paraId="66BC3AF0" w14:textId="77777777" w:rsidR="00AC5DDE" w:rsidRDefault="00BC02B9" w:rsidP="00BC02B9">
      <w:pPr>
        <w:spacing w:after="200" w:line="276" w:lineRule="auto"/>
        <w:rPr>
          <w:lang w:val="en-GB"/>
        </w:rPr>
      </w:pPr>
      <w:r w:rsidRPr="000C23F1">
        <w:rPr>
          <w:lang w:val="en-GB"/>
        </w:rPr>
        <w:t>Reference is otherwise made to</w:t>
      </w:r>
      <w:r w:rsidR="00AC5DDE">
        <w:rPr>
          <w:lang w:val="en-GB"/>
        </w:rPr>
        <w:t>:</w:t>
      </w:r>
    </w:p>
    <w:p w14:paraId="190E5958" w14:textId="5DE091E9" w:rsidR="00CE492E" w:rsidRDefault="005650A0" w:rsidP="00CE492E">
      <w:pPr>
        <w:spacing w:after="200" w:line="276" w:lineRule="auto"/>
        <w:rPr>
          <w:lang w:val="en-GB"/>
        </w:rPr>
      </w:pPr>
      <w:hyperlink r:id="rId27" w:anchor="Chapter-1" w:history="1">
        <w:r>
          <w:rPr>
            <w:rStyle w:val="Hyperkobling"/>
            <w:lang w:val="en-GB"/>
          </w:rPr>
          <w:t>S</w:t>
        </w:r>
        <w:r w:rsidR="00BC02B9" w:rsidRPr="000C23F1">
          <w:rPr>
            <w:rStyle w:val="Hyperkobling"/>
            <w:lang w:val="en-GB"/>
          </w:rPr>
          <w:t>ection 35 of the</w:t>
        </w:r>
        <w:r w:rsidR="004514F6">
          <w:rPr>
            <w:rStyle w:val="Hyperkobling"/>
            <w:lang w:val="en-GB"/>
          </w:rPr>
          <w:t xml:space="preserve"> Regulations relating to recourse management</w:t>
        </w:r>
        <w:r w:rsidR="00E46C7F">
          <w:rPr>
            <w:rStyle w:val="Hyperkobling"/>
            <w:lang w:val="en-GB"/>
          </w:rPr>
          <w:t xml:space="preserve"> in the petroleum activities</w:t>
        </w:r>
      </w:hyperlink>
      <w:r w:rsidR="00BC02B9" w:rsidRPr="0073617C">
        <w:rPr>
          <w:lang w:val="en-GB"/>
        </w:rPr>
        <w:t xml:space="preserve"> </w:t>
      </w:r>
    </w:p>
    <w:p w14:paraId="391F541A" w14:textId="447FD63C" w:rsidR="00CE492E" w:rsidRDefault="005650A0" w:rsidP="00CE492E">
      <w:pPr>
        <w:spacing w:after="200" w:line="276" w:lineRule="auto"/>
        <w:rPr>
          <w:rStyle w:val="Hyperkobling"/>
          <w:lang w:val="en-GB"/>
        </w:rPr>
      </w:pPr>
      <w:hyperlink r:id="rId28" w:anchor="Section-23" w:history="1">
        <w:r>
          <w:rPr>
            <w:rStyle w:val="Hyperkobling"/>
            <w:lang w:val="en-GB"/>
          </w:rPr>
          <w:t>S</w:t>
        </w:r>
        <w:r w:rsidR="00BC02B9" w:rsidRPr="000C23F1">
          <w:rPr>
            <w:rStyle w:val="Hyperkobling"/>
            <w:lang w:val="en-GB"/>
          </w:rPr>
          <w:t xml:space="preserve">ection 47 of the </w:t>
        </w:r>
        <w:r w:rsidR="00E46C7F">
          <w:rPr>
            <w:rStyle w:val="Hyperkobling"/>
            <w:lang w:val="en-GB"/>
          </w:rPr>
          <w:t>Regulations</w:t>
        </w:r>
        <w:r w:rsidR="000B4A9F">
          <w:rPr>
            <w:rStyle w:val="Hyperkobling"/>
            <w:lang w:val="en-GB"/>
          </w:rPr>
          <w:t xml:space="preserve"> to Act related to petroleum activities</w:t>
        </w:r>
      </w:hyperlink>
      <w:r w:rsidR="00CE492E">
        <w:rPr>
          <w:rStyle w:val="Hyperkobling"/>
          <w:lang w:val="en-GB"/>
        </w:rPr>
        <w:t xml:space="preserve"> </w:t>
      </w:r>
    </w:p>
    <w:p w14:paraId="748BA1CD" w14:textId="0075C142" w:rsidR="00CE492E" w:rsidRPr="005650A0" w:rsidRDefault="005650A0" w:rsidP="00CE492E">
      <w:pPr>
        <w:spacing w:after="200" w:line="276" w:lineRule="auto"/>
        <w:rPr>
          <w:rStyle w:val="Hyperkobling"/>
          <w:lang w:val="en-GB"/>
        </w:rPr>
      </w:pPr>
      <w:r>
        <w:rPr>
          <w:lang w:val="en-GB"/>
        </w:rPr>
        <w:fldChar w:fldCharType="begin"/>
      </w:r>
      <w:r>
        <w:rPr>
          <w:lang w:val="en-GB"/>
        </w:rPr>
        <w:instrText>HYPERLINK "https://www.sodir.no/globalassets/1-sodir/regelverk/veiledninger/guidelines-annual-status-report-for-fields-in-production.pdf"</w:instrText>
      </w:r>
      <w:r>
        <w:rPr>
          <w:lang w:val="en-GB"/>
        </w:rPr>
      </w:r>
      <w:r>
        <w:rPr>
          <w:lang w:val="en-GB"/>
        </w:rPr>
        <w:fldChar w:fldCharType="separate"/>
      </w:r>
      <w:r w:rsidRPr="005650A0">
        <w:rPr>
          <w:rStyle w:val="Hyperkobling"/>
          <w:lang w:val="en-GB"/>
        </w:rPr>
        <w:t>G</w:t>
      </w:r>
      <w:r w:rsidR="00BC02B9" w:rsidRPr="005650A0">
        <w:rPr>
          <w:rStyle w:val="Hyperkobling"/>
          <w:lang w:val="en-GB"/>
        </w:rPr>
        <w:t>uidelines for annual status reports for fields in production</w:t>
      </w:r>
    </w:p>
    <w:p w14:paraId="43C45731" w14:textId="64FA1359" w:rsidR="009E77F3" w:rsidRDefault="005650A0" w:rsidP="00CE492E">
      <w:pPr>
        <w:spacing w:after="200" w:line="276" w:lineRule="auto"/>
        <w:rPr>
          <w:lang w:val="en-GB"/>
        </w:rPr>
      </w:pPr>
      <w:r>
        <w:rPr>
          <w:lang w:val="en-GB"/>
        </w:rPr>
        <w:fldChar w:fldCharType="end"/>
      </w:r>
      <w:hyperlink r:id="rId29" w:history="1">
        <w:r w:rsidR="003518A2">
          <w:rPr>
            <w:rStyle w:val="Hyperkobling"/>
            <w:lang w:val="en-GB"/>
          </w:rPr>
          <w:t>Reporting to the revised national budget</w:t>
        </w:r>
      </w:hyperlink>
    </w:p>
    <w:p w14:paraId="70525159" w14:textId="77777777" w:rsidR="009E77F3" w:rsidRDefault="009E77F3">
      <w:pPr>
        <w:spacing w:after="200" w:line="276" w:lineRule="auto"/>
        <w:rPr>
          <w:lang w:val="en-GB"/>
        </w:rPr>
      </w:pPr>
      <w:r>
        <w:rPr>
          <w:lang w:val="en-GB"/>
        </w:rPr>
        <w:br w:type="page"/>
      </w:r>
    </w:p>
    <w:p w14:paraId="5E51C1C6" w14:textId="6D198F19" w:rsidR="00BC02B9" w:rsidRPr="00E66BD5" w:rsidRDefault="00BC02B9" w:rsidP="004E2A1D">
      <w:pPr>
        <w:pStyle w:val="Overskrift1"/>
        <w:rPr>
          <w:lang w:val="en-GB"/>
        </w:rPr>
      </w:pPr>
      <w:bookmarkStart w:id="99" w:name="_Toc170820653"/>
      <w:bookmarkStart w:id="100" w:name="_Toc170820677"/>
      <w:bookmarkStart w:id="101" w:name="_Toc138670757"/>
      <w:bookmarkStart w:id="102" w:name="_Toc200454834"/>
      <w:bookmarkEnd w:id="99"/>
      <w:bookmarkEnd w:id="100"/>
      <w:r w:rsidRPr="00E66BD5">
        <w:rPr>
          <w:lang w:val="en-GB"/>
        </w:rPr>
        <w:lastRenderedPageBreak/>
        <w:t>Appendix 1</w:t>
      </w:r>
      <w:r w:rsidR="008337F2" w:rsidRPr="00E66BD5">
        <w:rPr>
          <w:lang w:val="en-GB"/>
        </w:rPr>
        <w:t xml:space="preserve">– </w:t>
      </w:r>
      <w:r w:rsidRPr="00E66BD5">
        <w:rPr>
          <w:lang w:val="en-GB"/>
        </w:rPr>
        <w:t xml:space="preserve">Basis for </w:t>
      </w:r>
      <w:r w:rsidR="00552FAF" w:rsidRPr="00E66BD5">
        <w:rPr>
          <w:lang w:val="en-GB"/>
        </w:rPr>
        <w:t>A</w:t>
      </w:r>
      <w:r w:rsidRPr="00E66BD5">
        <w:rPr>
          <w:lang w:val="en-GB"/>
        </w:rPr>
        <w:t xml:space="preserve">pplication for </w:t>
      </w:r>
      <w:r w:rsidR="00552FAF" w:rsidRPr="00E66BD5">
        <w:rPr>
          <w:lang w:val="en-GB"/>
        </w:rPr>
        <w:t>Q</w:t>
      </w:r>
      <w:r w:rsidRPr="00E66BD5">
        <w:rPr>
          <w:lang w:val="en-GB"/>
        </w:rPr>
        <w:t xml:space="preserve">uotas for </w:t>
      </w:r>
      <w:r w:rsidR="00552FAF" w:rsidRPr="00E66BD5">
        <w:rPr>
          <w:lang w:val="en-GB"/>
        </w:rPr>
        <w:t>F</w:t>
      </w:r>
      <w:r w:rsidRPr="00E66BD5">
        <w:rPr>
          <w:lang w:val="en-GB"/>
        </w:rPr>
        <w:t xml:space="preserve">laring and </w:t>
      </w:r>
      <w:r w:rsidR="00552FAF" w:rsidRPr="00E66BD5">
        <w:rPr>
          <w:lang w:val="en-GB"/>
        </w:rPr>
        <w:t>C</w:t>
      </w:r>
      <w:r w:rsidRPr="00E66BD5">
        <w:rPr>
          <w:lang w:val="en-GB"/>
        </w:rPr>
        <w:t>old</w:t>
      </w:r>
      <w:r w:rsidR="009D318F" w:rsidRPr="00E66BD5">
        <w:rPr>
          <w:lang w:val="en-GB"/>
        </w:rPr>
        <w:t>-</w:t>
      </w:r>
      <w:r w:rsidRPr="00E66BD5">
        <w:rPr>
          <w:lang w:val="en-GB"/>
        </w:rPr>
        <w:t>venting</w:t>
      </w:r>
      <w:bookmarkEnd w:id="101"/>
      <w:bookmarkEnd w:id="102"/>
    </w:p>
    <w:p w14:paraId="0183B402" w14:textId="77777777" w:rsidR="00BC02B9" w:rsidRPr="000C23F1" w:rsidRDefault="00BC02B9" w:rsidP="00BC02B9">
      <w:pPr>
        <w:pStyle w:val="Brdtekst"/>
        <w:rPr>
          <w:lang w:val="en-GB"/>
        </w:rPr>
      </w:pPr>
    </w:p>
    <w:p w14:paraId="4E43599F" w14:textId="17AC495F" w:rsidR="009E77F3" w:rsidRDefault="00BC02B9" w:rsidP="00BC02B9">
      <w:pPr>
        <w:pStyle w:val="Brdtekst"/>
        <w:rPr>
          <w:lang w:val="en-US"/>
        </w:rPr>
      </w:pPr>
      <w:r w:rsidRPr="00D44976">
        <w:rPr>
          <w:lang w:val="en-US"/>
        </w:rPr>
        <w:t xml:space="preserve">See separate Excel-file: </w:t>
      </w:r>
      <w:hyperlink r:id="rId30" w:history="1">
        <w:r w:rsidRPr="0022370F">
          <w:rPr>
            <w:rStyle w:val="Hyperkobling"/>
            <w:lang w:val="en-US"/>
          </w:rPr>
          <w:t>appendix 1</w:t>
        </w:r>
      </w:hyperlink>
      <w:r w:rsidRPr="00D44976">
        <w:rPr>
          <w:lang w:val="en-US"/>
        </w:rPr>
        <w:t xml:space="preserve"> – </w:t>
      </w:r>
      <w:r w:rsidRPr="00D44976">
        <w:rPr>
          <w:i/>
          <w:iCs/>
          <w:lang w:val="en-US"/>
        </w:rPr>
        <w:t xml:space="preserve">Basis for application for quotas for flaring and cold-venting </w:t>
      </w:r>
      <w:r w:rsidRPr="00D44976">
        <w:rPr>
          <w:lang w:val="en-US"/>
        </w:rPr>
        <w:t>under</w:t>
      </w:r>
      <w:r w:rsidRPr="00D44976">
        <w:rPr>
          <w:i/>
          <w:iCs/>
          <w:lang w:val="en-US"/>
        </w:rPr>
        <w:t xml:space="preserve"> </w:t>
      </w:r>
      <w:hyperlink r:id="rId31" w:history="1">
        <w:r w:rsidRPr="00D44976">
          <w:rPr>
            <w:rStyle w:val="Hyperkobling"/>
            <w:lang w:val="en-US"/>
          </w:rPr>
          <w:t>regulations and guidelines</w:t>
        </w:r>
      </w:hyperlink>
      <w:r w:rsidRPr="00D44976">
        <w:rPr>
          <w:lang w:val="en-US"/>
        </w:rPr>
        <w:t xml:space="preserve"> on </w:t>
      </w:r>
      <w:r w:rsidR="00210A33">
        <w:rPr>
          <w:lang w:val="en-US"/>
        </w:rPr>
        <w:t>sodir</w:t>
      </w:r>
      <w:r w:rsidRPr="00D44976">
        <w:rPr>
          <w:lang w:val="en-US"/>
        </w:rPr>
        <w:t>.no/</w:t>
      </w:r>
      <w:proofErr w:type="spellStart"/>
      <w:r w:rsidRPr="00D44976">
        <w:rPr>
          <w:lang w:val="en-US"/>
        </w:rPr>
        <w:t>en</w:t>
      </w:r>
      <w:proofErr w:type="spellEnd"/>
      <w:r w:rsidRPr="00D44976">
        <w:rPr>
          <w:lang w:val="en-US"/>
        </w:rPr>
        <w:t xml:space="preserve">/. </w:t>
      </w:r>
    </w:p>
    <w:p w14:paraId="7BD35C6D" w14:textId="77777777" w:rsidR="009E77F3" w:rsidRDefault="009E77F3" w:rsidP="00BC02B9">
      <w:pPr>
        <w:pStyle w:val="Brdtekst"/>
        <w:rPr>
          <w:lang w:val="en-US"/>
        </w:rPr>
      </w:pPr>
    </w:p>
    <w:p w14:paraId="349D537F" w14:textId="7BDD820E" w:rsidR="00BC02B9" w:rsidRPr="0073617C" w:rsidRDefault="00BC02B9" w:rsidP="00BC02B9">
      <w:pPr>
        <w:pStyle w:val="Brdtekst"/>
        <w:rPr>
          <w:lang w:val="en-GB"/>
        </w:rPr>
      </w:pPr>
      <w:r w:rsidRPr="000C23F1">
        <w:rPr>
          <w:lang w:val="en-GB"/>
        </w:rPr>
        <w:t>The form shall be completed and attached to the application.</w:t>
      </w:r>
    </w:p>
    <w:p w14:paraId="1298ED68" w14:textId="77777777" w:rsidR="00BC02B9" w:rsidRDefault="00BC02B9" w:rsidP="00BC02B9">
      <w:pPr>
        <w:pStyle w:val="Brdtekst"/>
        <w:rPr>
          <w:lang w:val="en-GB"/>
        </w:rPr>
      </w:pPr>
    </w:p>
    <w:p w14:paraId="0FD86B97" w14:textId="77777777" w:rsidR="00BC02B9" w:rsidRDefault="00BC02B9" w:rsidP="00BC02B9">
      <w:pPr>
        <w:pStyle w:val="Brdtekst"/>
        <w:rPr>
          <w:lang w:val="en-GB"/>
        </w:rPr>
      </w:pPr>
    </w:p>
    <w:p w14:paraId="7CA42F8B" w14:textId="77777777" w:rsidR="00BC02B9" w:rsidRDefault="00BC02B9" w:rsidP="00BC02B9">
      <w:pPr>
        <w:pStyle w:val="Brdtekst"/>
        <w:rPr>
          <w:lang w:val="en-GB"/>
        </w:rPr>
      </w:pPr>
    </w:p>
    <w:p w14:paraId="41C0EC15" w14:textId="77777777" w:rsidR="00BC02B9" w:rsidRPr="0073617C" w:rsidRDefault="00BC02B9" w:rsidP="00BC02B9">
      <w:pPr>
        <w:pStyle w:val="Brdtekst"/>
        <w:rPr>
          <w:lang w:val="en-GB"/>
        </w:rPr>
      </w:pPr>
    </w:p>
    <w:p w14:paraId="212DB82C" w14:textId="77777777" w:rsidR="00BC02B9" w:rsidRDefault="00BC02B9" w:rsidP="00BC02B9">
      <w:pPr>
        <w:pStyle w:val="Brdtekst"/>
        <w:rPr>
          <w:lang w:val="en-GB"/>
        </w:rPr>
      </w:pPr>
    </w:p>
    <w:p w14:paraId="71FF41F4" w14:textId="77777777" w:rsidR="00BC02B9" w:rsidRDefault="00BC02B9" w:rsidP="00BC02B9">
      <w:pPr>
        <w:pStyle w:val="Brdtekst"/>
        <w:rPr>
          <w:lang w:val="en-GB"/>
        </w:rPr>
      </w:pPr>
    </w:p>
    <w:p w14:paraId="689222E7" w14:textId="77777777" w:rsidR="00BC02B9" w:rsidRPr="0073617C" w:rsidRDefault="00BC02B9" w:rsidP="00BC02B9">
      <w:pPr>
        <w:pStyle w:val="Brdtekst"/>
        <w:rPr>
          <w:lang w:val="en-GB"/>
        </w:rPr>
      </w:pPr>
    </w:p>
    <w:p w14:paraId="4951DC19" w14:textId="77777777" w:rsidR="00BC02B9" w:rsidRDefault="00BC02B9" w:rsidP="00BC02B9">
      <w:pPr>
        <w:spacing w:after="200" w:line="276" w:lineRule="auto"/>
        <w:rPr>
          <w:rFonts w:asciiTheme="majorHAnsi" w:eastAsiaTheme="majorEastAsia" w:hAnsiTheme="majorHAnsi" w:cstheme="majorBidi"/>
          <w:b/>
          <w:bCs/>
          <w:sz w:val="28"/>
          <w:szCs w:val="28"/>
          <w:lang w:val="en-GB"/>
        </w:rPr>
      </w:pPr>
      <w:r>
        <w:rPr>
          <w:lang w:val="en-GB"/>
        </w:rPr>
        <w:br w:type="page"/>
      </w:r>
    </w:p>
    <w:p w14:paraId="64757F4D" w14:textId="43E3F78E" w:rsidR="00BC02B9" w:rsidRPr="000C23F1" w:rsidRDefault="00BC02B9" w:rsidP="00BC02B9">
      <w:pPr>
        <w:pStyle w:val="Overskrift1"/>
        <w:spacing w:before="600" w:after="120"/>
        <w:rPr>
          <w:lang w:val="en-GB"/>
        </w:rPr>
      </w:pPr>
      <w:bookmarkStart w:id="103" w:name="_Toc138670758"/>
      <w:bookmarkStart w:id="104" w:name="_Toc200454835"/>
      <w:r w:rsidRPr="000C23F1">
        <w:rPr>
          <w:lang w:val="en-GB"/>
        </w:rPr>
        <w:lastRenderedPageBreak/>
        <w:t xml:space="preserve">Appendix 2 </w:t>
      </w:r>
      <w:r>
        <w:rPr>
          <w:lang w:val="en-GB"/>
        </w:rPr>
        <w:t>–</w:t>
      </w:r>
      <w:r w:rsidRPr="000C23F1">
        <w:rPr>
          <w:lang w:val="en-GB"/>
        </w:rPr>
        <w:t xml:space="preserve"> Increased </w:t>
      </w:r>
      <w:r w:rsidR="00C0432A">
        <w:rPr>
          <w:lang w:val="en-GB"/>
        </w:rPr>
        <w:t>Q</w:t>
      </w:r>
      <w:r w:rsidRPr="000C23F1">
        <w:rPr>
          <w:lang w:val="en-GB"/>
        </w:rPr>
        <w:t xml:space="preserve">uota for </w:t>
      </w:r>
      <w:r w:rsidR="00C0432A">
        <w:rPr>
          <w:lang w:val="en-GB"/>
        </w:rPr>
        <w:t>F</w:t>
      </w:r>
      <w:r w:rsidRPr="000C23F1">
        <w:rPr>
          <w:lang w:val="en-GB"/>
        </w:rPr>
        <w:t xml:space="preserve">laring and </w:t>
      </w:r>
      <w:r w:rsidR="00C0432A">
        <w:rPr>
          <w:lang w:val="en-GB"/>
        </w:rPr>
        <w:t>C</w:t>
      </w:r>
      <w:r w:rsidRPr="000C23F1">
        <w:rPr>
          <w:lang w:val="en-GB"/>
        </w:rPr>
        <w:t>old-venting</w:t>
      </w:r>
      <w:bookmarkEnd w:id="103"/>
      <w:bookmarkEnd w:id="104"/>
    </w:p>
    <w:tbl>
      <w:tblPr>
        <w:tblStyle w:val="Tabellrutenett"/>
        <w:tblW w:w="9250" w:type="dxa"/>
        <w:tblLayout w:type="fixed"/>
        <w:tblLook w:val="04A0" w:firstRow="1" w:lastRow="0" w:firstColumn="1" w:lastColumn="0" w:noHBand="0" w:noVBand="1"/>
      </w:tblPr>
      <w:tblGrid>
        <w:gridCol w:w="9250"/>
      </w:tblGrid>
      <w:tr w:rsidR="00BC02B9" w:rsidRPr="00A83D4B" w14:paraId="72AF205E" w14:textId="77777777">
        <w:tc>
          <w:tcPr>
            <w:tcW w:w="9250" w:type="dxa"/>
            <w:shd w:val="clear" w:color="auto" w:fill="D9D9D9" w:themeFill="background1" w:themeFillShade="D9"/>
          </w:tcPr>
          <w:p w14:paraId="0AA18D1C" w14:textId="77777777" w:rsidR="00BC02B9" w:rsidRPr="00834DA6" w:rsidRDefault="00BC02B9">
            <w:pPr>
              <w:rPr>
                <w:b/>
                <w:bCs/>
                <w:lang w:val="en-GB"/>
              </w:rPr>
            </w:pPr>
            <w:r w:rsidRPr="00834DA6">
              <w:rPr>
                <w:rFonts w:ascii="Calibri" w:eastAsia="Calibri" w:hAnsi="Calibri" w:cs="Calibri"/>
                <w:b/>
                <w:bCs/>
                <w:lang w:val="en-GB"/>
              </w:rPr>
              <w:t>Cause of extra flaring/</w:t>
            </w:r>
            <w:proofErr w:type="gramStart"/>
            <w:r w:rsidRPr="00834DA6">
              <w:rPr>
                <w:rFonts w:ascii="Calibri" w:eastAsia="Calibri" w:hAnsi="Calibri" w:cs="Calibri"/>
                <w:b/>
                <w:bCs/>
                <w:lang w:val="en-GB"/>
              </w:rPr>
              <w:t>cold-venting</w:t>
            </w:r>
            <w:proofErr w:type="gramEnd"/>
            <w:r w:rsidRPr="00834DA6">
              <w:rPr>
                <w:rFonts w:ascii="Calibri" w:eastAsia="Calibri" w:hAnsi="Calibri" w:cs="Calibri"/>
                <w:b/>
                <w:bCs/>
                <w:lang w:val="en-GB"/>
              </w:rPr>
              <w:t>:</w:t>
            </w:r>
          </w:p>
        </w:tc>
      </w:tr>
      <w:tr w:rsidR="00BC02B9" w:rsidRPr="00A83D4B" w14:paraId="751AE199" w14:textId="77777777">
        <w:trPr>
          <w:trHeight w:val="670"/>
        </w:trPr>
        <w:tc>
          <w:tcPr>
            <w:tcW w:w="9250" w:type="dxa"/>
          </w:tcPr>
          <w:p w14:paraId="4379B501" w14:textId="77777777" w:rsidR="00BC02B9" w:rsidRPr="0073617C" w:rsidRDefault="00BC02B9">
            <w:pPr>
              <w:rPr>
                <w:lang w:val="en-GB"/>
              </w:rPr>
            </w:pPr>
            <w:r w:rsidRPr="0073617C">
              <w:rPr>
                <w:rFonts w:ascii="Calibri" w:eastAsia="Calibri" w:hAnsi="Calibri" w:cs="Arial"/>
                <w:lang w:val="en-GB"/>
              </w:rPr>
              <w:t xml:space="preserve"> </w:t>
            </w:r>
          </w:p>
          <w:p w14:paraId="2F21AEC5" w14:textId="77777777" w:rsidR="00BC02B9" w:rsidRPr="000C23F1" w:rsidRDefault="00BC02B9">
            <w:pPr>
              <w:rPr>
                <w:lang w:val="en-GB"/>
              </w:rPr>
            </w:pPr>
            <w:r w:rsidRPr="000C23F1">
              <w:rPr>
                <w:rFonts w:ascii="Calibri" w:eastAsia="Calibri" w:hAnsi="Calibri" w:cs="Arial"/>
                <w:lang w:val="en-GB"/>
              </w:rPr>
              <w:t xml:space="preserve">   </w:t>
            </w:r>
          </w:p>
          <w:p w14:paraId="3A3A9961" w14:textId="77777777" w:rsidR="00BC02B9" w:rsidRPr="00AA3ABC" w:rsidRDefault="00BC02B9">
            <w:pPr>
              <w:rPr>
                <w:lang w:val="en-GB"/>
              </w:rPr>
            </w:pPr>
            <w:r w:rsidRPr="00AA3ABC">
              <w:rPr>
                <w:rFonts w:ascii="Calibri" w:eastAsia="Calibri" w:hAnsi="Calibri" w:cs="Arial"/>
                <w:lang w:val="en-GB"/>
              </w:rPr>
              <w:t xml:space="preserve"> </w:t>
            </w:r>
          </w:p>
        </w:tc>
      </w:tr>
      <w:tr w:rsidR="00BC02B9" w:rsidRPr="00A83D4B" w14:paraId="71900186" w14:textId="77777777">
        <w:tc>
          <w:tcPr>
            <w:tcW w:w="9250" w:type="dxa"/>
            <w:shd w:val="clear" w:color="auto" w:fill="D9D9D9" w:themeFill="background1" w:themeFillShade="D9"/>
          </w:tcPr>
          <w:p w14:paraId="234D8FBD" w14:textId="77777777" w:rsidR="00BC02B9" w:rsidRPr="0073617C" w:rsidRDefault="00BC02B9">
            <w:pPr>
              <w:rPr>
                <w:b/>
                <w:bCs/>
                <w:lang w:val="en-GB"/>
              </w:rPr>
            </w:pPr>
            <w:r w:rsidRPr="0073617C">
              <w:rPr>
                <w:rFonts w:ascii="Calibri" w:eastAsia="Calibri" w:hAnsi="Calibri" w:cs="Calibri"/>
                <w:b/>
                <w:bCs/>
                <w:lang w:val="en-GB"/>
              </w:rPr>
              <w:t xml:space="preserve">Presumed duration/schedule for </w:t>
            </w:r>
            <w:r>
              <w:rPr>
                <w:rFonts w:ascii="Calibri" w:eastAsia="Calibri" w:hAnsi="Calibri" w:cs="Calibri"/>
                <w:b/>
                <w:bCs/>
                <w:lang w:val="en-GB"/>
              </w:rPr>
              <w:t>handling</w:t>
            </w:r>
            <w:r w:rsidRPr="0073617C">
              <w:rPr>
                <w:rFonts w:ascii="Calibri" w:eastAsia="Calibri" w:hAnsi="Calibri" w:cs="Calibri"/>
                <w:b/>
                <w:bCs/>
                <w:lang w:val="en-GB"/>
              </w:rPr>
              <w:t xml:space="preserve"> the cause</w:t>
            </w:r>
            <w:r>
              <w:rPr>
                <w:rFonts w:ascii="Calibri" w:eastAsia="Calibri" w:hAnsi="Calibri" w:cs="Calibri"/>
                <w:b/>
                <w:bCs/>
                <w:lang w:val="en-GB"/>
              </w:rPr>
              <w:t xml:space="preserve"> of extra flaring/</w:t>
            </w:r>
            <w:proofErr w:type="gramStart"/>
            <w:r>
              <w:rPr>
                <w:rFonts w:ascii="Calibri" w:eastAsia="Calibri" w:hAnsi="Calibri" w:cs="Calibri"/>
                <w:b/>
                <w:bCs/>
                <w:lang w:val="en-GB"/>
              </w:rPr>
              <w:t>cold-venting</w:t>
            </w:r>
            <w:proofErr w:type="gramEnd"/>
            <w:r w:rsidRPr="0073617C">
              <w:rPr>
                <w:rFonts w:ascii="Calibri" w:eastAsia="Calibri" w:hAnsi="Calibri" w:cs="Calibri"/>
                <w:b/>
                <w:bCs/>
                <w:lang w:val="en-GB"/>
              </w:rPr>
              <w:t>:</w:t>
            </w:r>
          </w:p>
        </w:tc>
      </w:tr>
      <w:tr w:rsidR="00BC02B9" w:rsidRPr="00A83D4B" w14:paraId="75E247BB" w14:textId="77777777">
        <w:trPr>
          <w:trHeight w:val="451"/>
        </w:trPr>
        <w:tc>
          <w:tcPr>
            <w:tcW w:w="9250" w:type="dxa"/>
          </w:tcPr>
          <w:p w14:paraId="3C9776E7" w14:textId="77777777" w:rsidR="00BC02B9" w:rsidRPr="0073617C" w:rsidRDefault="00BC02B9">
            <w:pPr>
              <w:rPr>
                <w:lang w:val="en-GB"/>
              </w:rPr>
            </w:pPr>
            <w:r w:rsidRPr="0073617C">
              <w:rPr>
                <w:rFonts w:ascii="Calibri" w:eastAsia="Calibri" w:hAnsi="Calibri" w:cs="Arial"/>
                <w:lang w:val="en-GB"/>
              </w:rPr>
              <w:t xml:space="preserve">   </w:t>
            </w:r>
          </w:p>
          <w:p w14:paraId="19B95443"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A83D4B" w14:paraId="26BB3469" w14:textId="77777777">
        <w:tc>
          <w:tcPr>
            <w:tcW w:w="9250" w:type="dxa"/>
            <w:shd w:val="clear" w:color="auto" w:fill="D9D9D9" w:themeFill="background1" w:themeFillShade="D9"/>
          </w:tcPr>
          <w:p w14:paraId="04E6D663" w14:textId="1E90C874" w:rsidR="00BC02B9" w:rsidRPr="0073617C" w:rsidRDefault="00BC02B9">
            <w:pPr>
              <w:rPr>
                <w:b/>
                <w:bCs/>
                <w:lang w:val="en-GB"/>
              </w:rPr>
            </w:pPr>
            <w:r w:rsidRPr="0073617C">
              <w:rPr>
                <w:rFonts w:ascii="Calibri" w:eastAsia="Calibri" w:hAnsi="Calibri" w:cs="Calibri"/>
                <w:b/>
                <w:bCs/>
                <w:lang w:val="en-GB"/>
              </w:rPr>
              <w:t xml:space="preserve">Original </w:t>
            </w:r>
            <w:r>
              <w:rPr>
                <w:rFonts w:ascii="Calibri" w:eastAsia="Calibri" w:hAnsi="Calibri" w:cs="Calibri"/>
                <w:b/>
                <w:bCs/>
                <w:lang w:val="en-GB"/>
              </w:rPr>
              <w:t>permitted</w:t>
            </w:r>
            <w:r w:rsidRPr="0073617C">
              <w:rPr>
                <w:rFonts w:ascii="Calibri" w:eastAsia="Calibri" w:hAnsi="Calibri" w:cs="Calibri"/>
                <w:b/>
                <w:bCs/>
                <w:lang w:val="en-GB"/>
              </w:rPr>
              <w:t xml:space="preserve"> volume of flaring/cold-venting (mill Sm</w:t>
            </w:r>
            <w:r w:rsidRPr="00F34223">
              <w:rPr>
                <w:rFonts w:ascii="Calibri" w:eastAsia="Calibri" w:hAnsi="Calibri" w:cs="Calibri"/>
                <w:b/>
                <w:bCs/>
                <w:vertAlign w:val="superscript"/>
                <w:lang w:val="en-GB"/>
              </w:rPr>
              <w:t>3</w:t>
            </w:r>
            <w:r w:rsidRPr="0073617C">
              <w:rPr>
                <w:rFonts w:ascii="Calibri" w:eastAsia="Calibri" w:hAnsi="Calibri" w:cs="Calibri"/>
                <w:b/>
                <w:bCs/>
                <w:lang w:val="en-GB"/>
              </w:rPr>
              <w:t>) and changed volume of flaring/cold-venting (mill Sm</w:t>
            </w:r>
            <w:r w:rsidRPr="00F34223">
              <w:rPr>
                <w:rFonts w:ascii="Calibri" w:eastAsia="Calibri" w:hAnsi="Calibri" w:cs="Calibri"/>
                <w:b/>
                <w:bCs/>
                <w:vertAlign w:val="superscript"/>
                <w:lang w:val="en-GB"/>
              </w:rPr>
              <w:t>3</w:t>
            </w:r>
            <w:r w:rsidRPr="0073617C">
              <w:rPr>
                <w:rFonts w:ascii="Calibri" w:eastAsia="Calibri" w:hAnsi="Calibri" w:cs="Calibri"/>
                <w:b/>
                <w:bCs/>
                <w:lang w:val="en-GB"/>
              </w:rPr>
              <w:t>)</w:t>
            </w:r>
            <w:r w:rsidR="000B2DA5">
              <w:rPr>
                <w:rFonts w:ascii="Calibri" w:eastAsia="Calibri" w:hAnsi="Calibri" w:cs="Calibri"/>
                <w:b/>
                <w:bCs/>
                <w:lang w:val="en-GB"/>
              </w:rPr>
              <w:t xml:space="preserve"> </w:t>
            </w:r>
            <w:r w:rsidR="0087657A">
              <w:rPr>
                <w:rFonts w:ascii="Calibri" w:eastAsia="Calibri" w:hAnsi="Calibri" w:cs="Calibri"/>
                <w:b/>
                <w:bCs/>
                <w:lang w:val="en-GB"/>
              </w:rPr>
              <w:t>this</w:t>
            </w:r>
            <w:r w:rsidR="00A43C96">
              <w:rPr>
                <w:rFonts w:ascii="Calibri" w:eastAsia="Calibri" w:hAnsi="Calibri" w:cs="Calibri"/>
                <w:b/>
                <w:bCs/>
                <w:lang w:val="en-GB"/>
              </w:rPr>
              <w:t xml:space="preserve"> year</w:t>
            </w:r>
            <w:r w:rsidRPr="0073617C">
              <w:rPr>
                <w:rFonts w:ascii="Calibri" w:eastAsia="Calibri" w:hAnsi="Calibri" w:cs="Calibri"/>
                <w:b/>
                <w:bCs/>
                <w:lang w:val="en-GB"/>
              </w:rPr>
              <w:t>:</w:t>
            </w:r>
          </w:p>
        </w:tc>
      </w:tr>
      <w:tr w:rsidR="00BC02B9" w:rsidRPr="00A83D4B" w14:paraId="50115561" w14:textId="77777777">
        <w:trPr>
          <w:trHeight w:val="495"/>
        </w:trPr>
        <w:tc>
          <w:tcPr>
            <w:tcW w:w="9250" w:type="dxa"/>
          </w:tcPr>
          <w:p w14:paraId="76D66C92" w14:textId="77777777" w:rsidR="00BC02B9" w:rsidRPr="0073617C" w:rsidRDefault="00BC02B9">
            <w:pPr>
              <w:rPr>
                <w:lang w:val="en-GB"/>
              </w:rPr>
            </w:pPr>
            <w:r w:rsidRPr="0073617C">
              <w:rPr>
                <w:rFonts w:ascii="Calibri" w:eastAsia="Calibri" w:hAnsi="Calibri" w:cs="Arial"/>
                <w:lang w:val="en-GB"/>
              </w:rPr>
              <w:t xml:space="preserve"> </w:t>
            </w:r>
          </w:p>
          <w:p w14:paraId="1B10015F"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A83D4B" w14:paraId="19D21C46" w14:textId="77777777" w:rsidTr="004E2A1D">
        <w:trPr>
          <w:trHeight w:val="852"/>
        </w:trPr>
        <w:tc>
          <w:tcPr>
            <w:tcW w:w="9250" w:type="dxa"/>
            <w:shd w:val="clear" w:color="auto" w:fill="C8C8C3" w:themeFill="text2" w:themeFillTint="40"/>
          </w:tcPr>
          <w:p w14:paraId="44054919" w14:textId="77777777" w:rsidR="00BC02B9" w:rsidRPr="00550B7F" w:rsidRDefault="00BC02B9">
            <w:pPr>
              <w:rPr>
                <w:rFonts w:ascii="Calibri" w:eastAsia="Calibri" w:hAnsi="Calibri" w:cs="Calibri"/>
                <w:b/>
                <w:bCs/>
                <w:lang w:val="en-GB"/>
              </w:rPr>
            </w:pPr>
            <w:r w:rsidRPr="004E2A1D">
              <w:rPr>
                <w:rFonts w:ascii="Calibri" w:eastAsia="Calibri" w:hAnsi="Calibri" w:cs="Calibri"/>
                <w:b/>
                <w:bCs/>
                <w:lang w:val="en-GB"/>
              </w:rPr>
              <w:t>Method for determining the amount of flaring/cold ventilation (e.g. direct measurement by flare meter). If the application concerns an increased cold-ventilation quota, and the emission is not directly measured, the method of determining the volume of the increased emissions shall be given in the application:</w:t>
            </w:r>
          </w:p>
        </w:tc>
      </w:tr>
      <w:tr w:rsidR="00BC02B9" w:rsidRPr="00A83D4B" w14:paraId="30EC2D94" w14:textId="77777777">
        <w:trPr>
          <w:trHeight w:val="612"/>
        </w:trPr>
        <w:tc>
          <w:tcPr>
            <w:tcW w:w="9250" w:type="dxa"/>
          </w:tcPr>
          <w:p w14:paraId="2C937B41" w14:textId="77777777" w:rsidR="00BC02B9" w:rsidRPr="009E3D4D" w:rsidRDefault="00BC02B9">
            <w:pPr>
              <w:rPr>
                <w:rFonts w:ascii="Calibri" w:eastAsia="Calibri" w:hAnsi="Calibri" w:cs="Arial"/>
                <w:lang w:val="en-US"/>
              </w:rPr>
            </w:pPr>
          </w:p>
        </w:tc>
      </w:tr>
      <w:tr w:rsidR="00BC02B9" w:rsidRPr="00A83D4B" w14:paraId="00962E42" w14:textId="77777777">
        <w:tc>
          <w:tcPr>
            <w:tcW w:w="9250" w:type="dxa"/>
            <w:shd w:val="clear" w:color="auto" w:fill="D9D9D9" w:themeFill="background1" w:themeFillShade="D9"/>
          </w:tcPr>
          <w:p w14:paraId="6F9D4CBF" w14:textId="77777777" w:rsidR="00BC02B9" w:rsidRPr="0073617C" w:rsidRDefault="00BC02B9">
            <w:pPr>
              <w:rPr>
                <w:b/>
                <w:bCs/>
                <w:lang w:val="en-GB"/>
              </w:rPr>
            </w:pPr>
            <w:r w:rsidRPr="0073617C">
              <w:rPr>
                <w:rFonts w:ascii="Calibri" w:eastAsia="Calibri" w:hAnsi="Calibri" w:cs="Calibri"/>
                <w:b/>
                <w:bCs/>
                <w:lang w:val="en-GB"/>
              </w:rPr>
              <w:t>Assessments of how much production can be reduced while still maintaining a stable process:</w:t>
            </w:r>
          </w:p>
        </w:tc>
      </w:tr>
      <w:tr w:rsidR="00BC02B9" w:rsidRPr="00A83D4B" w14:paraId="0C560EDA" w14:textId="77777777">
        <w:trPr>
          <w:trHeight w:val="554"/>
        </w:trPr>
        <w:tc>
          <w:tcPr>
            <w:tcW w:w="9250" w:type="dxa"/>
          </w:tcPr>
          <w:p w14:paraId="1C7938A0" w14:textId="77777777" w:rsidR="00BC02B9" w:rsidRPr="0073617C" w:rsidRDefault="00BC02B9">
            <w:pPr>
              <w:rPr>
                <w:lang w:val="en-GB"/>
              </w:rPr>
            </w:pPr>
            <w:r w:rsidRPr="0073617C">
              <w:rPr>
                <w:rFonts w:ascii="Calibri" w:eastAsia="Calibri" w:hAnsi="Calibri" w:cs="Arial"/>
                <w:lang w:val="en-GB"/>
              </w:rPr>
              <w:t xml:space="preserve">   </w:t>
            </w:r>
          </w:p>
          <w:p w14:paraId="717E10C3"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A83D4B" w14:paraId="629923D7" w14:textId="77777777">
        <w:tc>
          <w:tcPr>
            <w:tcW w:w="9250" w:type="dxa"/>
            <w:shd w:val="clear" w:color="auto" w:fill="D9D9D9" w:themeFill="background1" w:themeFillShade="D9"/>
          </w:tcPr>
          <w:p w14:paraId="5C8482C2" w14:textId="77777777" w:rsidR="00BC02B9" w:rsidRPr="0073617C" w:rsidRDefault="00BC02B9">
            <w:pPr>
              <w:rPr>
                <w:b/>
                <w:bCs/>
                <w:lang w:val="en-GB"/>
              </w:rPr>
            </w:pPr>
            <w:r w:rsidRPr="7468BA02">
              <w:rPr>
                <w:rFonts w:ascii="Calibri" w:eastAsia="Calibri" w:hAnsi="Calibri" w:cs="Calibri"/>
                <w:b/>
                <w:bCs/>
                <w:lang w:val="en-GB"/>
              </w:rPr>
              <w:t>Any process-, well- or reservoir-technical consequences for production or reserves in the event of shutdown:</w:t>
            </w:r>
          </w:p>
        </w:tc>
      </w:tr>
      <w:tr w:rsidR="00BC02B9" w:rsidRPr="00A83D4B" w14:paraId="5D06EC7D" w14:textId="77777777">
        <w:trPr>
          <w:trHeight w:val="726"/>
        </w:trPr>
        <w:tc>
          <w:tcPr>
            <w:tcW w:w="9250" w:type="dxa"/>
          </w:tcPr>
          <w:p w14:paraId="2800E75E" w14:textId="77777777" w:rsidR="00BC02B9" w:rsidRPr="0073617C" w:rsidRDefault="00BC02B9">
            <w:pPr>
              <w:rPr>
                <w:lang w:val="en-GB"/>
              </w:rPr>
            </w:pPr>
            <w:r w:rsidRPr="0073617C">
              <w:rPr>
                <w:rFonts w:ascii="Calibri" w:eastAsia="Calibri" w:hAnsi="Calibri" w:cs="Arial"/>
                <w:lang w:val="en-GB"/>
              </w:rPr>
              <w:t xml:space="preserve">  </w:t>
            </w:r>
          </w:p>
          <w:p w14:paraId="45B8C914"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A83D4B" w14:paraId="64274A14" w14:textId="77777777">
        <w:trPr>
          <w:trHeight w:val="172"/>
        </w:trPr>
        <w:tc>
          <w:tcPr>
            <w:tcW w:w="9250" w:type="dxa"/>
            <w:shd w:val="clear" w:color="auto" w:fill="D9D9D9" w:themeFill="background1" w:themeFillShade="D9"/>
          </w:tcPr>
          <w:p w14:paraId="6DAB6AA6" w14:textId="77777777" w:rsidR="00BC02B9" w:rsidRPr="000C23F1" w:rsidRDefault="00BC02B9">
            <w:pPr>
              <w:rPr>
                <w:b/>
                <w:bCs/>
                <w:lang w:val="en-GB"/>
              </w:rPr>
            </w:pPr>
            <w:r w:rsidRPr="0073617C">
              <w:rPr>
                <w:rFonts w:ascii="Calibri" w:eastAsia="Calibri" w:hAnsi="Calibri" w:cs="Calibri"/>
                <w:b/>
                <w:bCs/>
                <w:lang w:val="en-GB"/>
              </w:rPr>
              <w:t>Implemented or planned measures to limit flaring (e.g. reducing production, shutting down or reducing wells with a lot of associated gas (high GOR)):</w:t>
            </w:r>
          </w:p>
        </w:tc>
      </w:tr>
      <w:tr w:rsidR="00BC02B9" w:rsidRPr="00A83D4B" w14:paraId="10D816BE" w14:textId="77777777">
        <w:trPr>
          <w:trHeight w:val="523"/>
        </w:trPr>
        <w:tc>
          <w:tcPr>
            <w:tcW w:w="9250" w:type="dxa"/>
          </w:tcPr>
          <w:p w14:paraId="5251D122" w14:textId="77777777" w:rsidR="00BC02B9" w:rsidRPr="0073617C" w:rsidRDefault="00BC02B9">
            <w:pPr>
              <w:rPr>
                <w:lang w:val="en-GB"/>
              </w:rPr>
            </w:pPr>
            <w:r w:rsidRPr="0073617C">
              <w:rPr>
                <w:rFonts w:ascii="Calibri" w:eastAsia="Calibri" w:hAnsi="Calibri" w:cs="Arial"/>
                <w:lang w:val="en-GB"/>
              </w:rPr>
              <w:t xml:space="preserve"> </w:t>
            </w:r>
          </w:p>
          <w:p w14:paraId="27D0E676" w14:textId="77777777" w:rsidR="00BC02B9" w:rsidRPr="000C23F1" w:rsidRDefault="00BC02B9">
            <w:pPr>
              <w:rPr>
                <w:lang w:val="en-GB"/>
              </w:rPr>
            </w:pPr>
            <w:r w:rsidRPr="000C23F1">
              <w:rPr>
                <w:rFonts w:ascii="Calibri" w:eastAsia="Calibri" w:hAnsi="Calibri" w:cs="Arial"/>
                <w:lang w:val="en-GB"/>
              </w:rPr>
              <w:t xml:space="preserve">  </w:t>
            </w:r>
          </w:p>
          <w:p w14:paraId="1425FFEE" w14:textId="77777777" w:rsidR="00BC02B9" w:rsidRPr="00AA3ABC" w:rsidRDefault="00BC02B9">
            <w:pPr>
              <w:tabs>
                <w:tab w:val="left" w:pos="3160"/>
              </w:tabs>
              <w:rPr>
                <w:lang w:val="en-GB"/>
              </w:rPr>
            </w:pPr>
            <w:r w:rsidRPr="00AA3ABC">
              <w:rPr>
                <w:rFonts w:ascii="Calibri" w:eastAsia="Calibri" w:hAnsi="Calibri" w:cs="Arial"/>
                <w:lang w:val="en-GB"/>
              </w:rPr>
              <w:t xml:space="preserve"> </w:t>
            </w:r>
            <w:r>
              <w:rPr>
                <w:rFonts w:ascii="Calibri" w:eastAsia="Calibri" w:hAnsi="Calibri" w:cs="Arial"/>
                <w:lang w:val="en-GB"/>
              </w:rPr>
              <w:tab/>
            </w:r>
          </w:p>
        </w:tc>
      </w:tr>
      <w:tr w:rsidR="00BC02B9" w:rsidRPr="00A83D4B" w14:paraId="4538D77F" w14:textId="77777777">
        <w:trPr>
          <w:trHeight w:val="525"/>
        </w:trPr>
        <w:tc>
          <w:tcPr>
            <w:tcW w:w="9250" w:type="dxa"/>
            <w:shd w:val="clear" w:color="auto" w:fill="D9D9D9" w:themeFill="background1" w:themeFillShade="D9"/>
          </w:tcPr>
          <w:p w14:paraId="4CED433A" w14:textId="77777777" w:rsidR="00BC02B9" w:rsidRDefault="00BC02B9">
            <w:pPr>
              <w:rPr>
                <w:rFonts w:ascii="Calibri" w:eastAsia="Calibri" w:hAnsi="Calibri" w:cs="Calibri"/>
                <w:b/>
                <w:bCs/>
                <w:lang w:val="en-GB"/>
              </w:rPr>
            </w:pPr>
            <w:r w:rsidRPr="62CF8892">
              <w:rPr>
                <w:rFonts w:ascii="Calibri" w:eastAsia="Calibri" w:hAnsi="Calibri" w:cs="Calibri"/>
                <w:b/>
                <w:bCs/>
                <w:lang w:val="en-GB"/>
              </w:rPr>
              <w:t>Where relevant, what specific operational routines/procedures are communicated to the control room operators to manage the flaring/cold venting?</w:t>
            </w:r>
          </w:p>
        </w:tc>
      </w:tr>
      <w:tr w:rsidR="00BC02B9" w:rsidRPr="00A83D4B" w14:paraId="67E27303" w14:textId="77777777">
        <w:trPr>
          <w:trHeight w:val="622"/>
        </w:trPr>
        <w:tc>
          <w:tcPr>
            <w:tcW w:w="9250" w:type="dxa"/>
            <w:shd w:val="clear" w:color="auto" w:fill="FFFFFF" w:themeFill="background1"/>
          </w:tcPr>
          <w:p w14:paraId="30AFEB4B" w14:textId="77777777" w:rsidR="00BC02B9" w:rsidRDefault="00BC02B9">
            <w:pPr>
              <w:rPr>
                <w:rFonts w:ascii="Calibri" w:eastAsia="Calibri" w:hAnsi="Calibri" w:cs="Calibri"/>
                <w:b/>
                <w:bCs/>
                <w:lang w:val="en-GB"/>
              </w:rPr>
            </w:pPr>
          </w:p>
        </w:tc>
      </w:tr>
      <w:tr w:rsidR="00BC02B9" w:rsidRPr="00A83D4B" w14:paraId="76F48CA1" w14:textId="77777777">
        <w:trPr>
          <w:trHeight w:val="555"/>
        </w:trPr>
        <w:tc>
          <w:tcPr>
            <w:tcW w:w="9250" w:type="dxa"/>
            <w:shd w:val="clear" w:color="auto" w:fill="D9D9D9" w:themeFill="background1" w:themeFillShade="D9"/>
          </w:tcPr>
          <w:p w14:paraId="756320F7" w14:textId="3366BC45" w:rsidR="00BC02B9" w:rsidRDefault="00BC02B9">
            <w:pPr>
              <w:rPr>
                <w:rFonts w:ascii="Calibri" w:eastAsia="Calibri" w:hAnsi="Calibri" w:cs="Calibri"/>
                <w:b/>
                <w:bCs/>
                <w:lang w:val="en-GB"/>
              </w:rPr>
            </w:pPr>
            <w:r w:rsidRPr="62CF8892">
              <w:rPr>
                <w:rFonts w:ascii="Calibri" w:eastAsia="Calibri" w:hAnsi="Calibri" w:cs="Calibri"/>
                <w:b/>
                <w:bCs/>
                <w:lang w:val="en-GB"/>
              </w:rPr>
              <w:t>Based om the current emission cost (CO</w:t>
            </w:r>
            <w:r w:rsidRPr="00FC5060">
              <w:rPr>
                <w:rFonts w:ascii="Calibri" w:eastAsia="Calibri" w:hAnsi="Calibri" w:cs="Calibri"/>
                <w:b/>
                <w:bCs/>
                <w:vertAlign w:val="subscript"/>
                <w:lang w:val="en-GB"/>
              </w:rPr>
              <w:t>2</w:t>
            </w:r>
            <w:r w:rsidRPr="62CF8892">
              <w:rPr>
                <w:rFonts w:ascii="Calibri" w:eastAsia="Calibri" w:hAnsi="Calibri" w:cs="Calibri"/>
                <w:b/>
                <w:bCs/>
                <w:lang w:val="en-GB"/>
              </w:rPr>
              <w:t>-tax + CO</w:t>
            </w:r>
            <w:r w:rsidRPr="00FC5060">
              <w:rPr>
                <w:rFonts w:ascii="Calibri" w:eastAsia="Calibri" w:hAnsi="Calibri" w:cs="Calibri"/>
                <w:b/>
                <w:bCs/>
                <w:vertAlign w:val="subscript"/>
                <w:lang w:val="en-GB"/>
              </w:rPr>
              <w:t>2</w:t>
            </w:r>
            <w:r w:rsidRPr="62CF8892">
              <w:rPr>
                <w:rFonts w:ascii="Calibri" w:eastAsia="Calibri" w:hAnsi="Calibri" w:cs="Calibri"/>
                <w:b/>
                <w:bCs/>
                <w:lang w:val="en-GB"/>
              </w:rPr>
              <w:t xml:space="preserve"> quota cost), give an estimate of the profitability for the </w:t>
            </w:r>
            <w:r w:rsidRPr="132E1B43">
              <w:rPr>
                <w:rFonts w:ascii="Calibri" w:eastAsia="Calibri" w:hAnsi="Calibri" w:cs="Calibri"/>
                <w:b/>
                <w:bCs/>
                <w:lang w:val="en-GB"/>
              </w:rPr>
              <w:t>extended</w:t>
            </w:r>
            <w:r w:rsidRPr="18DFB3CC">
              <w:rPr>
                <w:rFonts w:ascii="Calibri" w:eastAsia="Calibri" w:hAnsi="Calibri" w:cs="Calibri"/>
                <w:b/>
                <w:bCs/>
                <w:lang w:val="en-GB"/>
              </w:rPr>
              <w:t xml:space="preserve"> </w:t>
            </w:r>
            <w:r w:rsidRPr="4AC31A8A">
              <w:rPr>
                <w:rFonts w:ascii="Calibri" w:eastAsia="Calibri" w:hAnsi="Calibri" w:cs="Calibri"/>
                <w:b/>
                <w:bCs/>
                <w:lang w:val="en-GB"/>
              </w:rPr>
              <w:t xml:space="preserve">quota </w:t>
            </w:r>
            <w:r w:rsidRPr="6E153091">
              <w:rPr>
                <w:rFonts w:ascii="Calibri" w:eastAsia="Calibri" w:hAnsi="Calibri" w:cs="Calibri"/>
                <w:b/>
                <w:bCs/>
                <w:lang w:val="en-GB"/>
              </w:rPr>
              <w:t xml:space="preserve">here </w:t>
            </w:r>
            <w:r w:rsidRPr="0E44771B">
              <w:rPr>
                <w:rFonts w:ascii="Calibri" w:eastAsia="Calibri" w:hAnsi="Calibri" w:cs="Calibri"/>
                <w:b/>
                <w:bCs/>
                <w:lang w:val="en-GB"/>
              </w:rPr>
              <w:t xml:space="preserve">applied </w:t>
            </w:r>
            <w:r w:rsidRPr="420EFE1D">
              <w:rPr>
                <w:rFonts w:ascii="Calibri" w:eastAsia="Calibri" w:hAnsi="Calibri" w:cs="Calibri"/>
                <w:b/>
                <w:bCs/>
                <w:lang w:val="en-GB"/>
              </w:rPr>
              <w:t>for</w:t>
            </w:r>
            <w:r w:rsidRPr="430325B7">
              <w:rPr>
                <w:rFonts w:ascii="Calibri" w:eastAsia="Calibri" w:hAnsi="Calibri" w:cs="Calibri"/>
                <w:b/>
                <w:bCs/>
                <w:lang w:val="en-GB"/>
              </w:rPr>
              <w:t>.</w:t>
            </w:r>
          </w:p>
        </w:tc>
      </w:tr>
      <w:tr w:rsidR="00BC02B9" w:rsidRPr="00A83D4B" w14:paraId="5BB7129A" w14:textId="77777777">
        <w:trPr>
          <w:trHeight w:val="498"/>
        </w:trPr>
        <w:tc>
          <w:tcPr>
            <w:tcW w:w="9250" w:type="dxa"/>
            <w:shd w:val="clear" w:color="auto" w:fill="FFFFFF" w:themeFill="background1"/>
          </w:tcPr>
          <w:p w14:paraId="1EC3E1B8" w14:textId="77777777" w:rsidR="00BC02B9" w:rsidRDefault="00BC02B9">
            <w:pPr>
              <w:rPr>
                <w:rFonts w:ascii="Calibri" w:eastAsia="Calibri" w:hAnsi="Calibri" w:cs="Calibri"/>
                <w:b/>
                <w:bCs/>
                <w:lang w:val="en-GB"/>
              </w:rPr>
            </w:pPr>
          </w:p>
        </w:tc>
      </w:tr>
      <w:tr w:rsidR="00BC02B9" w:rsidRPr="00A83D4B" w14:paraId="6A4413F3" w14:textId="77777777">
        <w:tc>
          <w:tcPr>
            <w:tcW w:w="9250" w:type="dxa"/>
            <w:shd w:val="clear" w:color="auto" w:fill="D9D9D9" w:themeFill="background1" w:themeFillShade="D9"/>
          </w:tcPr>
          <w:p w14:paraId="19519815" w14:textId="77777777" w:rsidR="00BC02B9" w:rsidRPr="003D08A4" w:rsidRDefault="00BC02B9">
            <w:pPr>
              <w:rPr>
                <w:rFonts w:ascii="Calibri" w:eastAsia="Calibri" w:hAnsi="Calibri" w:cs="Arial"/>
                <w:lang w:val="en-US"/>
              </w:rPr>
            </w:pPr>
            <w:r w:rsidRPr="003D08A4">
              <w:rPr>
                <w:rFonts w:ascii="Calibri" w:eastAsia="Calibri" w:hAnsi="Calibri" w:cs="Calibri"/>
                <w:b/>
                <w:bCs/>
                <w:lang w:val="en-GB"/>
              </w:rPr>
              <w:t xml:space="preserve">Will the requested volumes </w:t>
            </w:r>
            <w:proofErr w:type="gramStart"/>
            <w:r w:rsidRPr="003D08A4">
              <w:rPr>
                <w:rFonts w:ascii="Calibri" w:eastAsia="Calibri" w:hAnsi="Calibri" w:cs="Calibri"/>
                <w:b/>
                <w:bCs/>
                <w:lang w:val="en-GB"/>
              </w:rPr>
              <w:t>be in conflict with</w:t>
            </w:r>
            <w:proofErr w:type="gramEnd"/>
            <w:r w:rsidRPr="003D08A4">
              <w:rPr>
                <w:rFonts w:ascii="Calibri" w:eastAsia="Calibri" w:hAnsi="Calibri" w:cs="Calibri"/>
                <w:b/>
                <w:bCs/>
                <w:lang w:val="en-GB"/>
              </w:rPr>
              <w:t xml:space="preserve"> the emission permit granted by the Norwegian Environment Agency?</w:t>
            </w:r>
          </w:p>
        </w:tc>
      </w:tr>
      <w:tr w:rsidR="00BC02B9" w:rsidRPr="00A83D4B" w14:paraId="2E7FA1EB" w14:textId="77777777">
        <w:trPr>
          <w:trHeight w:val="483"/>
        </w:trPr>
        <w:tc>
          <w:tcPr>
            <w:tcW w:w="9250" w:type="dxa"/>
          </w:tcPr>
          <w:p w14:paraId="50BE4591" w14:textId="77777777" w:rsidR="00BC02B9" w:rsidRPr="00905555" w:rsidRDefault="00BC02B9">
            <w:pPr>
              <w:rPr>
                <w:rFonts w:ascii="Calibri" w:eastAsia="Calibri" w:hAnsi="Calibri" w:cs="Calibri"/>
                <w:lang w:val="en-GB"/>
              </w:rPr>
            </w:pPr>
            <w:r w:rsidRPr="00905555">
              <w:rPr>
                <w:rFonts w:ascii="Calibri" w:eastAsia="Calibri" w:hAnsi="Calibri" w:cs="Calibri"/>
                <w:lang w:val="en-GB"/>
              </w:rPr>
              <w:t>[Yes/No]- If yes, we kindly ask you to contact the Environment Agency.</w:t>
            </w:r>
          </w:p>
        </w:tc>
      </w:tr>
      <w:tr w:rsidR="00BC02B9" w:rsidRPr="00A83D4B" w14:paraId="79881AC2" w14:textId="77777777">
        <w:tc>
          <w:tcPr>
            <w:tcW w:w="9250" w:type="dxa"/>
            <w:shd w:val="clear" w:color="auto" w:fill="D9D9D9" w:themeFill="background1" w:themeFillShade="D9"/>
          </w:tcPr>
          <w:p w14:paraId="717390D4" w14:textId="77777777" w:rsidR="00BC02B9" w:rsidRPr="0073617C" w:rsidRDefault="00BC02B9">
            <w:pPr>
              <w:rPr>
                <w:b/>
                <w:bCs/>
                <w:lang w:val="en-GB"/>
              </w:rPr>
            </w:pPr>
            <w:r>
              <w:rPr>
                <w:rFonts w:ascii="Calibri" w:eastAsia="Calibri" w:hAnsi="Calibri" w:cs="Calibri"/>
                <w:b/>
                <w:bCs/>
                <w:lang w:val="en-GB"/>
              </w:rPr>
              <w:t>The operators c</w:t>
            </w:r>
            <w:r w:rsidRPr="0073617C">
              <w:rPr>
                <w:rFonts w:ascii="Calibri" w:eastAsia="Calibri" w:hAnsi="Calibri" w:cs="Calibri"/>
                <w:b/>
                <w:bCs/>
                <w:lang w:val="en-GB"/>
              </w:rPr>
              <w:t xml:space="preserve">ontact </w:t>
            </w:r>
            <w:r>
              <w:rPr>
                <w:rFonts w:ascii="Calibri" w:eastAsia="Calibri" w:hAnsi="Calibri" w:cs="Calibri"/>
                <w:b/>
                <w:bCs/>
                <w:lang w:val="en-GB"/>
              </w:rPr>
              <w:t xml:space="preserve">person (name, phone number and e-mail address) </w:t>
            </w:r>
            <w:r w:rsidRPr="0073617C">
              <w:rPr>
                <w:rFonts w:ascii="Calibri" w:eastAsia="Calibri" w:hAnsi="Calibri" w:cs="Calibri"/>
                <w:b/>
                <w:bCs/>
                <w:lang w:val="en-GB"/>
              </w:rPr>
              <w:t>if additional information is needed:</w:t>
            </w:r>
          </w:p>
        </w:tc>
      </w:tr>
      <w:tr w:rsidR="00BC02B9" w:rsidRPr="00A83D4B" w14:paraId="067D09B3" w14:textId="77777777">
        <w:trPr>
          <w:trHeight w:val="778"/>
        </w:trPr>
        <w:tc>
          <w:tcPr>
            <w:tcW w:w="9250" w:type="dxa"/>
            <w:tcBorders>
              <w:bottom w:val="single" w:sz="4" w:space="0" w:color="auto"/>
            </w:tcBorders>
          </w:tcPr>
          <w:p w14:paraId="75778D84" w14:textId="77777777" w:rsidR="00BC02B9" w:rsidRPr="0073617C" w:rsidRDefault="00BC02B9">
            <w:pPr>
              <w:rPr>
                <w:lang w:val="en-GB"/>
              </w:rPr>
            </w:pPr>
            <w:r w:rsidRPr="0073617C">
              <w:rPr>
                <w:rFonts w:ascii="Calibri" w:eastAsia="Calibri" w:hAnsi="Calibri" w:cs="Arial"/>
                <w:lang w:val="en-GB"/>
              </w:rPr>
              <w:t xml:space="preserve">  </w:t>
            </w:r>
          </w:p>
        </w:tc>
      </w:tr>
      <w:tr w:rsidR="00BC02B9" w:rsidRPr="00A83D4B" w14:paraId="780B04AF" w14:textId="77777777">
        <w:trPr>
          <w:trHeight w:val="846"/>
        </w:trPr>
        <w:tc>
          <w:tcPr>
            <w:tcW w:w="9250" w:type="dxa"/>
            <w:tcBorders>
              <w:bottom w:val="single" w:sz="4" w:space="0" w:color="auto"/>
            </w:tcBorders>
            <w:shd w:val="clear" w:color="auto" w:fill="D9D9D9" w:themeFill="background1" w:themeFillShade="D9"/>
          </w:tcPr>
          <w:p w14:paraId="05E9DE8A" w14:textId="69C14D9F" w:rsidR="00BC02B9" w:rsidRPr="00AA3ABC" w:rsidRDefault="00BC02B9">
            <w:pPr>
              <w:rPr>
                <w:b/>
                <w:bCs/>
                <w:lang w:val="en-GB"/>
              </w:rPr>
            </w:pPr>
            <w:r w:rsidRPr="0073617C">
              <w:rPr>
                <w:rFonts w:ascii="Calibri" w:eastAsia="Calibri" w:hAnsi="Calibri" w:cs="Calibri"/>
                <w:b/>
                <w:bCs/>
                <w:lang w:val="en-GB"/>
              </w:rPr>
              <w:t>The organisation’s</w:t>
            </w:r>
            <w:r w:rsidRPr="000C23F1">
              <w:rPr>
                <w:rFonts w:ascii="Calibri" w:eastAsia="Calibri" w:hAnsi="Calibri" w:cs="Calibri"/>
                <w:b/>
                <w:bCs/>
                <w:lang w:val="en-GB"/>
              </w:rPr>
              <w:t xml:space="preserve">/facility's flaring </w:t>
            </w:r>
            <w:r w:rsidR="00166F4D">
              <w:rPr>
                <w:rFonts w:ascii="Calibri" w:eastAsia="Calibri" w:hAnsi="Calibri" w:cs="Calibri"/>
                <w:b/>
                <w:bCs/>
                <w:lang w:val="en-GB"/>
              </w:rPr>
              <w:t>procedure</w:t>
            </w:r>
            <w:r w:rsidR="00166F4D" w:rsidRPr="000C23F1">
              <w:rPr>
                <w:rFonts w:ascii="Calibri" w:eastAsia="Calibri" w:hAnsi="Calibri" w:cs="Calibri"/>
                <w:b/>
                <w:bCs/>
                <w:lang w:val="en-GB"/>
              </w:rPr>
              <w:t xml:space="preserve"> </w:t>
            </w:r>
            <w:r w:rsidRPr="000C23F1">
              <w:rPr>
                <w:rFonts w:ascii="Calibri" w:eastAsia="Calibri" w:hAnsi="Calibri" w:cs="Calibri"/>
                <w:b/>
                <w:bCs/>
                <w:lang w:val="en-GB"/>
              </w:rPr>
              <w:t>for unforeseen incidents shall be enclosed with the application as a separate document.</w:t>
            </w:r>
          </w:p>
        </w:tc>
      </w:tr>
    </w:tbl>
    <w:p w14:paraId="59BFA263" w14:textId="1B922A4F" w:rsidR="00BC02B9" w:rsidRPr="00AA3ABC" w:rsidRDefault="00BC02B9" w:rsidP="00BC02B9">
      <w:pPr>
        <w:pStyle w:val="Overskrift1"/>
        <w:rPr>
          <w:lang w:val="en-GB"/>
        </w:rPr>
      </w:pPr>
      <w:r w:rsidRPr="0073617C">
        <w:rPr>
          <w:i/>
          <w:color w:val="0066CC"/>
          <w:u w:val="single"/>
          <w:lang w:val="en-GB"/>
        </w:rPr>
        <w:br w:type="page"/>
      </w:r>
      <w:bookmarkStart w:id="105" w:name="_Toc138670759"/>
      <w:bookmarkStart w:id="106" w:name="_Toc200454836"/>
      <w:r w:rsidRPr="00980DC4">
        <w:rPr>
          <w:lang w:val="en-GB"/>
        </w:rPr>
        <w:lastRenderedPageBreak/>
        <w:t xml:space="preserve">Appendix 3 </w:t>
      </w:r>
      <w:r w:rsidR="00A91BE6">
        <w:rPr>
          <w:lang w:val="en-GB"/>
        </w:rPr>
        <w:t xml:space="preserve">– </w:t>
      </w:r>
      <w:r w:rsidRPr="00980DC4">
        <w:rPr>
          <w:lang w:val="en-GB"/>
        </w:rPr>
        <w:t xml:space="preserve">Application </w:t>
      </w:r>
      <w:r w:rsidR="00C82A1D">
        <w:rPr>
          <w:lang w:val="en-GB"/>
        </w:rPr>
        <w:t>M</w:t>
      </w:r>
      <w:r w:rsidRPr="00980DC4">
        <w:rPr>
          <w:lang w:val="en-GB"/>
        </w:rPr>
        <w:t>atrix</w:t>
      </w:r>
      <w:bookmarkEnd w:id="105"/>
      <w:bookmarkEnd w:id="106"/>
    </w:p>
    <w:tbl>
      <w:tblPr>
        <w:tblpPr w:leftFromText="141" w:rightFromText="141" w:vertAnchor="text" w:horzAnchor="margin" w:tblpXSpec="center" w:tblpY="367"/>
        <w:tblW w:w="10348" w:type="dxa"/>
        <w:tblCellMar>
          <w:left w:w="0" w:type="dxa"/>
          <w:right w:w="0" w:type="dxa"/>
        </w:tblCellMar>
        <w:tblLook w:val="04A0" w:firstRow="1" w:lastRow="0" w:firstColumn="1" w:lastColumn="0" w:noHBand="0" w:noVBand="1"/>
      </w:tblPr>
      <w:tblGrid>
        <w:gridCol w:w="1852"/>
        <w:gridCol w:w="1401"/>
        <w:gridCol w:w="1425"/>
        <w:gridCol w:w="2268"/>
        <w:gridCol w:w="1701"/>
        <w:gridCol w:w="1701"/>
      </w:tblGrid>
      <w:tr w:rsidR="00BC02B9" w:rsidRPr="00834DA6" w14:paraId="5CE8AF47" w14:textId="77777777">
        <w:trPr>
          <w:trHeight w:val="570"/>
        </w:trPr>
        <w:tc>
          <w:tcPr>
            <w:tcW w:w="1852" w:type="dxa"/>
            <w:tcBorders>
              <w:top w:val="nil"/>
              <w:left w:val="nil"/>
              <w:bottom w:val="single" w:sz="8" w:space="0" w:color="auto"/>
              <w:right w:val="nil"/>
            </w:tcBorders>
            <w:tcMar>
              <w:top w:w="0" w:type="dxa"/>
              <w:left w:w="70" w:type="dxa"/>
              <w:bottom w:w="0" w:type="dxa"/>
              <w:right w:w="70" w:type="dxa"/>
            </w:tcMar>
            <w:hideMark/>
          </w:tcPr>
          <w:p w14:paraId="27C590B3" w14:textId="77777777" w:rsidR="00BC02B9" w:rsidRPr="00834DA6" w:rsidRDefault="00BC02B9">
            <w:pPr>
              <w:rPr>
                <w:lang w:val="en-GB"/>
              </w:rPr>
            </w:pP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614CE99C" w14:textId="77777777" w:rsidR="00BC02B9" w:rsidRPr="00834DA6" w:rsidRDefault="00BC02B9">
            <w:pPr>
              <w:rPr>
                <w:rFonts w:ascii="Times New Roman" w:eastAsia="Times New Roman" w:hAnsi="Times New Roman" w:cs="Times New Roman"/>
                <w:sz w:val="20"/>
                <w:szCs w:val="20"/>
                <w:lang w:val="en-GB" w:eastAsia="nb-NO"/>
              </w:rPr>
            </w:pPr>
          </w:p>
        </w:tc>
        <w:tc>
          <w:tcPr>
            <w:tcW w:w="7095"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EAAE38E" w14:textId="77777777" w:rsidR="00BC02B9" w:rsidRPr="00834DA6" w:rsidRDefault="00BC02B9">
            <w:pPr>
              <w:rPr>
                <w:rFonts w:ascii="Calibri" w:hAnsi="Calibri" w:cs="Calibri"/>
                <w:b/>
                <w:bCs/>
                <w:color w:val="000000"/>
                <w:lang w:val="en-GB" w:eastAsia="nb-NO"/>
              </w:rPr>
            </w:pPr>
            <w:r w:rsidRPr="00834DA6">
              <w:rPr>
                <w:b/>
                <w:bCs/>
                <w:color w:val="000000"/>
                <w:lang w:val="en-GB" w:eastAsia="nb-NO"/>
              </w:rPr>
              <w:t>Application type</w:t>
            </w:r>
          </w:p>
        </w:tc>
      </w:tr>
      <w:tr w:rsidR="00BC02B9" w:rsidRPr="00A83D4B" w14:paraId="593E36C3" w14:textId="77777777" w:rsidTr="00940422">
        <w:trPr>
          <w:trHeight w:val="570"/>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9917D3" w14:textId="77777777" w:rsidR="00BC02B9" w:rsidRPr="0073617C" w:rsidRDefault="00BC02B9">
            <w:pPr>
              <w:rPr>
                <w:b/>
                <w:bCs/>
                <w:color w:val="000000"/>
                <w:lang w:val="en-GB" w:eastAsia="nb-NO"/>
              </w:rPr>
            </w:pPr>
            <w:r w:rsidRPr="0073617C">
              <w:rPr>
                <w:b/>
                <w:bCs/>
                <w:color w:val="000000"/>
                <w:lang w:val="en-GB" w:eastAsia="nb-NO"/>
              </w:rPr>
              <w:t>Applicant</w:t>
            </w: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3D33DC1C" w14:textId="77777777" w:rsidR="00BC02B9" w:rsidRPr="000C23F1" w:rsidRDefault="00BC02B9">
            <w:pPr>
              <w:rPr>
                <w:b/>
                <w:bCs/>
                <w:color w:val="000000"/>
                <w:lang w:val="en-GB" w:eastAsia="nb-NO"/>
              </w:rPr>
            </w:pPr>
            <w:r w:rsidRPr="000C23F1">
              <w:rPr>
                <w:b/>
                <w:bCs/>
                <w:color w:val="000000"/>
                <w:lang w:val="en-GB" w:eastAsia="nb-NO"/>
              </w:rPr>
              <w:t>When</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098FEB94" w14:textId="77777777" w:rsidR="00BC02B9" w:rsidRPr="00834DA6" w:rsidRDefault="00BC02B9">
            <w:pPr>
              <w:rPr>
                <w:b/>
                <w:bCs/>
                <w:color w:val="000000"/>
                <w:lang w:val="en-GB" w:eastAsia="nb-NO"/>
              </w:rPr>
            </w:pPr>
            <w:r w:rsidRPr="00834DA6">
              <w:rPr>
                <w:b/>
                <w:bCs/>
                <w:color w:val="000000"/>
                <w:lang w:val="en-GB" w:eastAsia="nb-NO"/>
              </w:rPr>
              <w:t>Production and injection</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14D323A" w14:textId="77777777" w:rsidR="00BC02B9" w:rsidRPr="00834DA6" w:rsidRDefault="00BC02B9">
            <w:pPr>
              <w:rPr>
                <w:b/>
                <w:bCs/>
                <w:color w:val="000000"/>
                <w:lang w:val="en-GB" w:eastAsia="nb-NO"/>
              </w:rPr>
            </w:pPr>
            <w:r w:rsidRPr="00834DA6">
              <w:rPr>
                <w:b/>
                <w:bCs/>
                <w:color w:val="000000"/>
                <w:lang w:val="en-GB" w:eastAsia="nb-NO"/>
              </w:rPr>
              <w:t xml:space="preserve">Flaring and </w:t>
            </w:r>
            <w:proofErr w:type="gramStart"/>
            <w:r w:rsidRPr="00834DA6">
              <w:rPr>
                <w:b/>
                <w:bCs/>
                <w:color w:val="000000"/>
                <w:lang w:val="en-GB" w:eastAsia="nb-NO"/>
              </w:rPr>
              <w:t>cold-venting</w:t>
            </w:r>
            <w:proofErr w:type="gramEnd"/>
          </w:p>
        </w:tc>
        <w:tc>
          <w:tcPr>
            <w:tcW w:w="1701" w:type="dxa"/>
            <w:tcBorders>
              <w:top w:val="nil"/>
              <w:left w:val="nil"/>
              <w:bottom w:val="single" w:sz="8" w:space="0" w:color="auto"/>
              <w:right w:val="single" w:sz="8" w:space="0" w:color="auto"/>
            </w:tcBorders>
            <w:hideMark/>
          </w:tcPr>
          <w:p w14:paraId="398CD461" w14:textId="77777777" w:rsidR="00BC02B9" w:rsidRPr="00834DA6" w:rsidRDefault="00BC02B9">
            <w:pPr>
              <w:rPr>
                <w:b/>
                <w:bCs/>
                <w:color w:val="000000"/>
                <w:lang w:val="en-GB" w:eastAsia="nb-NO"/>
              </w:rPr>
            </w:pPr>
            <w:r w:rsidRPr="00834DA6">
              <w:rPr>
                <w:b/>
                <w:bCs/>
                <w:color w:val="000000"/>
                <w:lang w:val="en-GB" w:eastAsia="nb-NO"/>
              </w:rPr>
              <w:t>Special application for gas</w:t>
            </w:r>
          </w:p>
        </w:tc>
        <w:tc>
          <w:tcPr>
            <w:tcW w:w="1701" w:type="dxa"/>
            <w:tcBorders>
              <w:top w:val="nil"/>
              <w:left w:val="nil"/>
              <w:bottom w:val="single" w:sz="8" w:space="0" w:color="auto"/>
              <w:right w:val="single" w:sz="8" w:space="0" w:color="auto"/>
            </w:tcBorders>
            <w:hideMark/>
          </w:tcPr>
          <w:p w14:paraId="6ABC6A12" w14:textId="77777777" w:rsidR="00BC02B9" w:rsidRPr="00834DA6" w:rsidRDefault="00BC02B9">
            <w:pPr>
              <w:rPr>
                <w:b/>
                <w:bCs/>
                <w:color w:val="000000"/>
                <w:lang w:val="en-GB" w:eastAsia="nb-NO"/>
              </w:rPr>
            </w:pPr>
            <w:r w:rsidRPr="00834DA6">
              <w:rPr>
                <w:b/>
                <w:bCs/>
                <w:color w:val="000000"/>
                <w:lang w:val="en-GB" w:eastAsia="nb-NO"/>
              </w:rPr>
              <w:t>Application for discrepancies and changes in existing permits</w:t>
            </w:r>
          </w:p>
        </w:tc>
      </w:tr>
      <w:tr w:rsidR="00BC02B9" w:rsidRPr="00834DA6" w14:paraId="62CAE659"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C7CB34" w14:textId="77777777" w:rsidR="00BC02B9" w:rsidRPr="0073617C" w:rsidRDefault="00BC02B9">
            <w:pPr>
              <w:rPr>
                <w:b/>
                <w:bCs/>
                <w:color w:val="000000"/>
                <w:lang w:val="en-GB" w:eastAsia="nb-NO"/>
              </w:rPr>
            </w:pPr>
            <w:r w:rsidRPr="0073617C">
              <w:rPr>
                <w:b/>
                <w:bCs/>
                <w:color w:val="000000"/>
                <w:lang w:val="en-GB" w:eastAsia="nb-NO"/>
              </w:rPr>
              <w:t>Fields</w:t>
            </w: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05CB671B" w14:textId="77777777" w:rsidR="00BC02B9" w:rsidRPr="000C23F1" w:rsidRDefault="00BC02B9">
            <w:pPr>
              <w:rPr>
                <w:color w:val="000000"/>
                <w:lang w:val="en-GB" w:eastAsia="nb-NO"/>
              </w:rPr>
            </w:pPr>
            <w:r w:rsidRPr="000C23F1">
              <w:rPr>
                <w:color w:val="000000"/>
                <w:lang w:val="en-GB" w:eastAsia="nb-NO"/>
              </w:rPr>
              <w:t>Before start-up</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673F28C9" w14:textId="115770DA" w:rsidR="00BC02B9" w:rsidRPr="00834DA6" w:rsidRDefault="00BC02B9">
            <w:pPr>
              <w:rPr>
                <w:color w:val="000000"/>
                <w:lang w:val="en-GB" w:eastAsia="nb-NO"/>
              </w:rPr>
            </w:pPr>
            <w:r w:rsidRPr="00834DA6">
              <w:rPr>
                <w:color w:val="000000"/>
                <w:lang w:val="en-GB" w:eastAsia="nb-NO"/>
              </w:rPr>
              <w:t xml:space="preserve">Shall </w:t>
            </w:r>
            <w:proofErr w:type="gramStart"/>
            <w:r w:rsidRPr="00834DA6">
              <w:rPr>
                <w:color w:val="000000"/>
                <w:lang w:val="en-GB" w:eastAsia="nb-NO"/>
              </w:rPr>
              <w:t xml:space="preserve">apply, </w:t>
            </w:r>
            <w:r w:rsidR="00A07172">
              <w:rPr>
                <w:color w:val="000000"/>
                <w:lang w:val="en-GB" w:eastAsia="nb-NO"/>
              </w:rPr>
              <w:t xml:space="preserve"> s</w:t>
            </w:r>
            <w:r w:rsidR="00A07172" w:rsidRPr="00CB1012">
              <w:rPr>
                <w:color w:val="000000"/>
                <w:lang w:val="en-GB" w:eastAsia="nb-NO"/>
              </w:rPr>
              <w:t>e</w:t>
            </w:r>
            <w:r w:rsidR="00A07172">
              <w:rPr>
                <w:color w:val="000000"/>
                <w:lang w:val="en-GB" w:eastAsia="nb-NO"/>
              </w:rPr>
              <w:t>c</w:t>
            </w:r>
            <w:r w:rsidR="00A07172" w:rsidRPr="00CB1012">
              <w:rPr>
                <w:color w:val="000000"/>
                <w:lang w:val="en-GB" w:eastAsia="nb-NO"/>
              </w:rPr>
              <w:t>t</w:t>
            </w:r>
            <w:r w:rsidR="00A07172">
              <w:rPr>
                <w:color w:val="000000"/>
                <w:lang w:val="en-GB" w:eastAsia="nb-NO"/>
              </w:rPr>
              <w:t>i</w:t>
            </w:r>
            <w:r w:rsidR="00A07172" w:rsidRPr="00CB1012">
              <w:rPr>
                <w:color w:val="000000"/>
                <w:lang w:val="en-GB" w:eastAsia="nb-NO"/>
              </w:rPr>
              <w:t>o</w:t>
            </w:r>
            <w:r w:rsidR="00A07172">
              <w:rPr>
                <w:color w:val="000000"/>
                <w:lang w:val="en-GB" w:eastAsia="nb-NO"/>
              </w:rPr>
              <w:t>n</w:t>
            </w:r>
            <w:proofErr w:type="gramEnd"/>
            <w:r w:rsidR="00A07172" w:rsidRPr="00834DA6">
              <w:rPr>
                <w:color w:val="000000"/>
                <w:lang w:val="en-GB" w:eastAsia="nb-NO"/>
              </w:rPr>
              <w:t xml:space="preserve"> </w:t>
            </w:r>
            <w:r w:rsidRPr="00834DA6">
              <w:rPr>
                <w:color w:val="000000"/>
                <w:lang w:val="en-GB" w:eastAsia="nb-NO"/>
              </w:rPr>
              <w:t>3.1</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D0C86C6" w14:textId="66C29EA4" w:rsidR="00BC02B9" w:rsidRPr="00834DA6" w:rsidRDefault="00BC02B9">
            <w:pPr>
              <w:rPr>
                <w:color w:val="000000"/>
                <w:lang w:val="en-GB" w:eastAsia="nb-NO"/>
              </w:rPr>
            </w:pPr>
            <w:r w:rsidRPr="00834DA6">
              <w:rPr>
                <w:color w:val="000000"/>
                <w:lang w:val="en-GB" w:eastAsia="nb-NO"/>
              </w:rPr>
              <w:t xml:space="preserve">Shall apply in the event of flaring and/or </w:t>
            </w:r>
            <w:proofErr w:type="gramStart"/>
            <w:r w:rsidRPr="00834DA6">
              <w:rPr>
                <w:color w:val="000000"/>
                <w:lang w:val="en-GB" w:eastAsia="nb-NO"/>
              </w:rPr>
              <w:t>cold-venting</w:t>
            </w:r>
            <w:proofErr w:type="gramEnd"/>
            <w:r w:rsidRPr="00834DA6">
              <w:rPr>
                <w:color w:val="000000"/>
                <w:lang w:val="en-GB" w:eastAsia="nb-NO"/>
              </w:rPr>
              <w:t xml:space="preserve"> on the field, </w:t>
            </w:r>
            <w:r w:rsidR="00CB1012">
              <w:rPr>
                <w:color w:val="000000"/>
                <w:lang w:val="en-GB" w:eastAsia="nb-NO"/>
              </w:rPr>
              <w:t>s</w:t>
            </w:r>
            <w:r w:rsidR="00CB1012" w:rsidRPr="00CB1012">
              <w:rPr>
                <w:color w:val="000000"/>
                <w:lang w:val="en-GB" w:eastAsia="nb-NO"/>
              </w:rPr>
              <w:t>e</w:t>
            </w:r>
            <w:r w:rsidR="00CB1012">
              <w:rPr>
                <w:color w:val="000000"/>
                <w:lang w:val="en-GB" w:eastAsia="nb-NO"/>
              </w:rPr>
              <w:t>c</w:t>
            </w:r>
            <w:r w:rsidR="00CB1012" w:rsidRPr="00CB1012">
              <w:rPr>
                <w:color w:val="000000"/>
                <w:lang w:val="en-GB" w:eastAsia="nb-NO"/>
              </w:rPr>
              <w:t>t</w:t>
            </w:r>
            <w:r w:rsidR="00CB1012">
              <w:rPr>
                <w:color w:val="000000"/>
                <w:lang w:val="en-GB" w:eastAsia="nb-NO"/>
              </w:rPr>
              <w:t>i</w:t>
            </w:r>
            <w:r w:rsidR="00CB1012" w:rsidRPr="00CB1012">
              <w:rPr>
                <w:color w:val="000000"/>
                <w:lang w:val="en-GB" w:eastAsia="nb-NO"/>
              </w:rPr>
              <w:t>o</w:t>
            </w:r>
            <w:r w:rsidR="00CB1012">
              <w:rPr>
                <w:color w:val="000000"/>
                <w:lang w:val="en-GB" w:eastAsia="nb-NO"/>
              </w:rPr>
              <w:t>n</w:t>
            </w:r>
            <w:r w:rsidRPr="00834DA6">
              <w:rPr>
                <w:color w:val="000000"/>
                <w:lang w:val="en-GB" w:eastAsia="nb-NO"/>
              </w:rPr>
              <w:t xml:space="preserve"> 3.2</w:t>
            </w:r>
          </w:p>
        </w:tc>
        <w:tc>
          <w:tcPr>
            <w:tcW w:w="1701" w:type="dxa"/>
            <w:tcBorders>
              <w:top w:val="nil"/>
              <w:left w:val="nil"/>
              <w:bottom w:val="single" w:sz="8" w:space="0" w:color="auto"/>
              <w:right w:val="single" w:sz="8" w:space="0" w:color="auto"/>
            </w:tcBorders>
          </w:tcPr>
          <w:p w14:paraId="649B5F60" w14:textId="4067DDA8" w:rsidR="00BC02B9" w:rsidRPr="00834DA6" w:rsidRDefault="00BC02B9">
            <w:pPr>
              <w:rPr>
                <w:color w:val="000000"/>
                <w:lang w:val="en-GB" w:eastAsia="nb-NO"/>
              </w:rPr>
            </w:pPr>
            <w:r w:rsidRPr="00834DA6">
              <w:rPr>
                <w:color w:val="000000"/>
                <w:lang w:val="en-GB" w:eastAsia="nb-NO"/>
              </w:rPr>
              <w:t xml:space="preserve">Can apply, </w:t>
            </w:r>
            <w:r w:rsidR="0068311D">
              <w:rPr>
                <w:color w:val="000000"/>
                <w:lang w:val="en-GB" w:eastAsia="nb-NO"/>
              </w:rPr>
              <w:t>section</w:t>
            </w:r>
            <w:r w:rsidR="00940422">
              <w:rPr>
                <w:color w:val="000000"/>
                <w:lang w:val="en-GB" w:eastAsia="nb-NO"/>
              </w:rPr>
              <w:t>s</w:t>
            </w:r>
            <w:r w:rsidRPr="00834DA6">
              <w:rPr>
                <w:color w:val="000000"/>
                <w:lang w:val="en-GB" w:eastAsia="nb-NO"/>
              </w:rPr>
              <w:t xml:space="preserve"> 5.1 – 5.3</w:t>
            </w:r>
          </w:p>
          <w:p w14:paraId="37A6D30C" w14:textId="77777777" w:rsidR="00BC02B9" w:rsidRPr="00834DA6" w:rsidRDefault="00BC02B9">
            <w:pPr>
              <w:rPr>
                <w:color w:val="000000"/>
                <w:lang w:val="en-GB" w:eastAsia="nb-NO"/>
              </w:rPr>
            </w:pPr>
          </w:p>
        </w:tc>
        <w:tc>
          <w:tcPr>
            <w:tcW w:w="1701" w:type="dxa"/>
            <w:tcBorders>
              <w:top w:val="nil"/>
              <w:left w:val="nil"/>
              <w:bottom w:val="single" w:sz="8" w:space="0" w:color="auto"/>
              <w:right w:val="single" w:sz="8" w:space="0" w:color="auto"/>
            </w:tcBorders>
            <w:hideMark/>
          </w:tcPr>
          <w:p w14:paraId="15FB3FCA" w14:textId="1511CE3F" w:rsidR="00BC02B9" w:rsidRPr="00834DA6" w:rsidRDefault="00BC02B9">
            <w:pPr>
              <w:rPr>
                <w:color w:val="000000"/>
                <w:lang w:val="en-GB" w:eastAsia="nb-NO"/>
              </w:rPr>
            </w:pPr>
            <w:r w:rsidRPr="00834DA6">
              <w:rPr>
                <w:color w:val="000000"/>
                <w:lang w:val="en-GB" w:eastAsia="nb-NO"/>
              </w:rPr>
              <w:t xml:space="preserve">As needed, </w:t>
            </w:r>
            <w:r w:rsidR="00A07172">
              <w:rPr>
                <w:color w:val="000000"/>
                <w:lang w:val="en-GB" w:eastAsia="nb-NO"/>
              </w:rPr>
              <w:t>sections</w:t>
            </w:r>
            <w:r w:rsidRPr="00834DA6">
              <w:rPr>
                <w:color w:val="000000"/>
                <w:lang w:val="en-GB" w:eastAsia="nb-NO"/>
              </w:rPr>
              <w:t xml:space="preserve"> 6.1 - 6.3</w:t>
            </w:r>
          </w:p>
        </w:tc>
      </w:tr>
      <w:tr w:rsidR="00BC02B9" w:rsidRPr="00834DA6" w14:paraId="44FFABB0"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F3C67E" w14:textId="77777777" w:rsidR="00BC02B9" w:rsidRPr="0073617C" w:rsidRDefault="00BC02B9">
            <w:pPr>
              <w:rPr>
                <w:b/>
                <w:bCs/>
                <w:color w:val="000000"/>
                <w:lang w:val="en-GB" w:eastAsia="nb-NO"/>
              </w:rPr>
            </w:pP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4F12814D" w14:textId="77777777" w:rsidR="00BC02B9" w:rsidRPr="000C23F1" w:rsidRDefault="00BC02B9">
            <w:pPr>
              <w:rPr>
                <w:color w:val="000000"/>
                <w:lang w:val="en-GB" w:eastAsia="nb-NO"/>
              </w:rPr>
            </w:pPr>
            <w:r w:rsidRPr="000C23F1">
              <w:rPr>
                <w:color w:val="000000"/>
                <w:lang w:val="en-GB" w:eastAsia="nb-NO"/>
              </w:rPr>
              <w:t>Annual</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13F7434A" w14:textId="5BF067AA" w:rsidR="00BC02B9" w:rsidRPr="00834DA6" w:rsidRDefault="00BC02B9">
            <w:pPr>
              <w:rPr>
                <w:color w:val="000000"/>
                <w:lang w:val="en-GB" w:eastAsia="nb-NO"/>
              </w:rPr>
            </w:pPr>
            <w:r w:rsidRPr="00834DA6">
              <w:rPr>
                <w:color w:val="000000"/>
                <w:lang w:val="en-GB" w:eastAsia="nb-NO"/>
              </w:rPr>
              <w:t xml:space="preserve">Shall </w:t>
            </w:r>
            <w:proofErr w:type="gramStart"/>
            <w:r w:rsidRPr="00834DA6">
              <w:rPr>
                <w:color w:val="000000"/>
                <w:lang w:val="en-GB" w:eastAsia="nb-NO"/>
              </w:rPr>
              <w:t xml:space="preserve">apply, </w:t>
            </w:r>
            <w:r w:rsidR="00B2114D">
              <w:rPr>
                <w:color w:val="000000"/>
                <w:lang w:val="en-GB" w:eastAsia="nb-NO"/>
              </w:rPr>
              <w:t xml:space="preserve"> </w:t>
            </w:r>
            <w:r w:rsidR="00A07172">
              <w:rPr>
                <w:color w:val="000000"/>
                <w:lang w:val="en-GB" w:eastAsia="nb-NO"/>
              </w:rPr>
              <w:t xml:space="preserve"> </w:t>
            </w:r>
            <w:proofErr w:type="gramEnd"/>
            <w:r w:rsidR="00A07172">
              <w:rPr>
                <w:color w:val="000000"/>
                <w:lang w:val="en-GB" w:eastAsia="nb-NO"/>
              </w:rPr>
              <w:t>s</w:t>
            </w:r>
            <w:r w:rsidR="00A07172" w:rsidRPr="00CB1012">
              <w:rPr>
                <w:color w:val="000000"/>
                <w:lang w:val="en-GB" w:eastAsia="nb-NO"/>
              </w:rPr>
              <w:t>e</w:t>
            </w:r>
            <w:r w:rsidR="00A07172">
              <w:rPr>
                <w:color w:val="000000"/>
                <w:lang w:val="en-GB" w:eastAsia="nb-NO"/>
              </w:rPr>
              <w:t>c</w:t>
            </w:r>
            <w:r w:rsidR="00A07172" w:rsidRPr="00CB1012">
              <w:rPr>
                <w:color w:val="000000"/>
                <w:lang w:val="en-GB" w:eastAsia="nb-NO"/>
              </w:rPr>
              <w:t>t</w:t>
            </w:r>
            <w:r w:rsidR="00A07172">
              <w:rPr>
                <w:color w:val="000000"/>
                <w:lang w:val="en-GB" w:eastAsia="nb-NO"/>
              </w:rPr>
              <w:t>i</w:t>
            </w:r>
            <w:r w:rsidR="00A07172" w:rsidRPr="00CB1012">
              <w:rPr>
                <w:color w:val="000000"/>
                <w:lang w:val="en-GB" w:eastAsia="nb-NO"/>
              </w:rPr>
              <w:t>o</w:t>
            </w:r>
            <w:r w:rsidR="00A07172">
              <w:rPr>
                <w:color w:val="000000"/>
                <w:lang w:val="en-GB" w:eastAsia="nb-NO"/>
              </w:rPr>
              <w:t>n</w:t>
            </w:r>
            <w:r w:rsidR="00A07172" w:rsidRPr="00834DA6">
              <w:rPr>
                <w:color w:val="000000"/>
                <w:lang w:val="en-GB" w:eastAsia="nb-NO"/>
              </w:rPr>
              <w:t xml:space="preserve"> </w:t>
            </w:r>
            <w:r w:rsidRPr="00834DA6">
              <w:rPr>
                <w:color w:val="000000"/>
                <w:lang w:val="en-GB" w:eastAsia="nb-NO"/>
              </w:rPr>
              <w:t>4.1</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0FDD18F8" w14:textId="011EB2BD" w:rsidR="00BC02B9" w:rsidRPr="00834DA6" w:rsidRDefault="00BC02B9">
            <w:pPr>
              <w:rPr>
                <w:color w:val="000000"/>
                <w:lang w:val="en-GB" w:eastAsia="nb-NO"/>
              </w:rPr>
            </w:pPr>
            <w:r w:rsidRPr="00834DA6">
              <w:rPr>
                <w:color w:val="000000"/>
                <w:lang w:val="en-GB" w:eastAsia="nb-NO"/>
              </w:rPr>
              <w:t xml:space="preserve">Shall apply in the event of flaring and/or </w:t>
            </w:r>
            <w:proofErr w:type="gramStart"/>
            <w:r w:rsidRPr="00834DA6">
              <w:rPr>
                <w:color w:val="000000"/>
                <w:lang w:val="en-GB" w:eastAsia="nb-NO"/>
              </w:rPr>
              <w:t>cold-venting</w:t>
            </w:r>
            <w:proofErr w:type="gramEnd"/>
            <w:r w:rsidRPr="00834DA6">
              <w:rPr>
                <w:color w:val="000000"/>
                <w:lang w:val="en-GB" w:eastAsia="nb-NO"/>
              </w:rPr>
              <w:t xml:space="preserve"> on the field, </w:t>
            </w:r>
            <w:r w:rsidR="00CB1012">
              <w:rPr>
                <w:color w:val="000000"/>
                <w:lang w:val="en-GB" w:eastAsia="nb-NO"/>
              </w:rPr>
              <w:t>s</w:t>
            </w:r>
            <w:r w:rsidR="00CB1012" w:rsidRPr="00CB1012">
              <w:rPr>
                <w:color w:val="000000"/>
                <w:lang w:val="en-GB" w:eastAsia="nb-NO"/>
              </w:rPr>
              <w:t>e</w:t>
            </w:r>
            <w:r w:rsidR="00CB1012">
              <w:rPr>
                <w:color w:val="000000"/>
                <w:lang w:val="en-GB" w:eastAsia="nb-NO"/>
              </w:rPr>
              <w:t>c</w:t>
            </w:r>
            <w:r w:rsidR="00CB1012" w:rsidRPr="00CB1012">
              <w:rPr>
                <w:color w:val="000000"/>
                <w:lang w:val="en-GB" w:eastAsia="nb-NO"/>
              </w:rPr>
              <w:t>t</w:t>
            </w:r>
            <w:r w:rsidR="00CB1012">
              <w:rPr>
                <w:color w:val="000000"/>
                <w:lang w:val="en-GB" w:eastAsia="nb-NO"/>
              </w:rPr>
              <w:t>i</w:t>
            </w:r>
            <w:r w:rsidR="00CB1012" w:rsidRPr="00CB1012">
              <w:rPr>
                <w:color w:val="000000"/>
                <w:lang w:val="en-GB" w:eastAsia="nb-NO"/>
              </w:rPr>
              <w:t>o</w:t>
            </w:r>
            <w:r w:rsidR="00CB1012">
              <w:rPr>
                <w:color w:val="000000"/>
                <w:lang w:val="en-GB" w:eastAsia="nb-NO"/>
              </w:rPr>
              <w:t>n</w:t>
            </w:r>
            <w:r w:rsidRPr="00834DA6">
              <w:rPr>
                <w:color w:val="000000"/>
                <w:lang w:val="en-GB" w:eastAsia="nb-NO"/>
              </w:rPr>
              <w:t xml:space="preserve"> 4.2</w:t>
            </w:r>
          </w:p>
        </w:tc>
        <w:tc>
          <w:tcPr>
            <w:tcW w:w="1701" w:type="dxa"/>
            <w:tcBorders>
              <w:top w:val="nil"/>
              <w:left w:val="nil"/>
              <w:bottom w:val="single" w:sz="8" w:space="0" w:color="auto"/>
              <w:right w:val="single" w:sz="8" w:space="0" w:color="auto"/>
            </w:tcBorders>
            <w:hideMark/>
          </w:tcPr>
          <w:p w14:paraId="3013A694" w14:textId="460EC9FE" w:rsidR="00BC02B9" w:rsidRPr="00834DA6" w:rsidRDefault="00BC02B9">
            <w:pPr>
              <w:rPr>
                <w:color w:val="000000"/>
                <w:lang w:val="en-GB" w:eastAsia="nb-NO"/>
              </w:rPr>
            </w:pPr>
            <w:r w:rsidRPr="00834DA6">
              <w:rPr>
                <w:color w:val="000000"/>
                <w:lang w:val="en-GB" w:eastAsia="nb-NO"/>
              </w:rPr>
              <w:t xml:space="preserve">Can apply, </w:t>
            </w:r>
            <w:r w:rsidR="0068311D">
              <w:rPr>
                <w:color w:val="000000"/>
                <w:lang w:val="en-GB" w:eastAsia="nb-NO"/>
              </w:rPr>
              <w:t>section</w:t>
            </w:r>
            <w:r w:rsidR="00940422">
              <w:rPr>
                <w:color w:val="000000"/>
                <w:lang w:val="en-GB" w:eastAsia="nb-NO"/>
              </w:rPr>
              <w:t>s</w:t>
            </w:r>
            <w:r w:rsidRPr="00834DA6">
              <w:rPr>
                <w:color w:val="000000"/>
                <w:lang w:val="en-GB" w:eastAsia="nb-NO"/>
              </w:rPr>
              <w:t xml:space="preserve"> 5.1 – 5.3</w:t>
            </w:r>
          </w:p>
        </w:tc>
        <w:tc>
          <w:tcPr>
            <w:tcW w:w="1701" w:type="dxa"/>
            <w:tcBorders>
              <w:top w:val="nil"/>
              <w:left w:val="nil"/>
              <w:bottom w:val="single" w:sz="8" w:space="0" w:color="auto"/>
              <w:right w:val="single" w:sz="8" w:space="0" w:color="auto"/>
            </w:tcBorders>
            <w:hideMark/>
          </w:tcPr>
          <w:p w14:paraId="7CEA565A" w14:textId="76A1ABC1" w:rsidR="00BC02B9" w:rsidRPr="00834DA6" w:rsidRDefault="00BC02B9">
            <w:pPr>
              <w:rPr>
                <w:color w:val="000000"/>
                <w:lang w:val="en-GB" w:eastAsia="nb-NO"/>
              </w:rPr>
            </w:pPr>
            <w:r w:rsidRPr="00834DA6">
              <w:rPr>
                <w:color w:val="000000"/>
                <w:lang w:val="en-GB" w:eastAsia="nb-NO"/>
              </w:rPr>
              <w:t xml:space="preserve">As needed, </w:t>
            </w:r>
            <w:r w:rsidR="00A07172">
              <w:rPr>
                <w:color w:val="000000"/>
                <w:lang w:val="en-GB" w:eastAsia="nb-NO"/>
              </w:rPr>
              <w:t>sections</w:t>
            </w:r>
            <w:r w:rsidRPr="00834DA6">
              <w:rPr>
                <w:color w:val="000000"/>
                <w:lang w:val="en-GB" w:eastAsia="nb-NO"/>
              </w:rPr>
              <w:t xml:space="preserve"> 6.1 - 6.3</w:t>
            </w:r>
          </w:p>
        </w:tc>
      </w:tr>
      <w:tr w:rsidR="00BC02B9" w:rsidRPr="00834DA6" w14:paraId="312C3CC1"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F6A557B" w14:textId="77777777" w:rsidR="00BC02B9" w:rsidRPr="0073617C" w:rsidRDefault="00BC02B9">
            <w:pPr>
              <w:rPr>
                <w:b/>
                <w:bCs/>
                <w:color w:val="000000"/>
                <w:lang w:val="en-GB" w:eastAsia="nb-NO"/>
              </w:rPr>
            </w:pPr>
            <w:r w:rsidRPr="0073617C">
              <w:rPr>
                <w:b/>
                <w:bCs/>
                <w:color w:val="000000"/>
                <w:lang w:val="en-GB" w:eastAsia="nb-NO"/>
              </w:rPr>
              <w:t>Onshore facilities and facilities on the shelf without association with fields</w:t>
            </w: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4D5E21A8" w14:textId="77777777" w:rsidR="00BC02B9" w:rsidRPr="000C23F1" w:rsidRDefault="00BC02B9">
            <w:pPr>
              <w:rPr>
                <w:color w:val="000000"/>
                <w:lang w:val="en-GB" w:eastAsia="nb-NO"/>
              </w:rPr>
            </w:pPr>
            <w:r w:rsidRPr="000C23F1">
              <w:rPr>
                <w:color w:val="000000"/>
                <w:lang w:val="en-GB" w:eastAsia="nb-NO"/>
              </w:rPr>
              <w:t>Before start-up</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2F3DF8EF" w14:textId="77777777" w:rsidR="00BC02B9" w:rsidRPr="00834DA6" w:rsidRDefault="00BC02B9">
            <w:pPr>
              <w:rPr>
                <w:color w:val="000000"/>
                <w:lang w:val="en-GB" w:eastAsia="nb-NO"/>
              </w:rPr>
            </w:pPr>
            <w:r w:rsidRPr="00834DA6">
              <w:rPr>
                <w:color w:val="000000"/>
                <w:lang w:val="en-GB" w:eastAsia="nb-NO"/>
              </w:rPr>
              <w:t>Not relevant</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783A690" w14:textId="727ACAD7" w:rsidR="00BC02B9" w:rsidRPr="00834DA6" w:rsidRDefault="00BC02B9">
            <w:pPr>
              <w:rPr>
                <w:color w:val="000000"/>
                <w:lang w:val="en-GB" w:eastAsia="nb-NO"/>
              </w:rPr>
            </w:pPr>
            <w:r w:rsidRPr="00834DA6">
              <w:rPr>
                <w:color w:val="000000"/>
                <w:lang w:val="en-GB" w:eastAsia="nb-NO"/>
              </w:rPr>
              <w:t xml:space="preserve">Shall apply in the event of flaring and/or </w:t>
            </w:r>
            <w:proofErr w:type="gramStart"/>
            <w:r w:rsidRPr="00834DA6">
              <w:rPr>
                <w:color w:val="000000"/>
                <w:lang w:val="en-GB" w:eastAsia="nb-NO"/>
              </w:rPr>
              <w:t>cold-venting</w:t>
            </w:r>
            <w:proofErr w:type="gramEnd"/>
            <w:r w:rsidRPr="00834DA6">
              <w:rPr>
                <w:color w:val="000000"/>
                <w:lang w:val="en-GB" w:eastAsia="nb-NO"/>
              </w:rPr>
              <w:t xml:space="preserve"> at the facility, </w:t>
            </w:r>
            <w:r w:rsidR="00CB1012">
              <w:rPr>
                <w:color w:val="000000"/>
                <w:lang w:val="en-GB" w:eastAsia="nb-NO"/>
              </w:rPr>
              <w:t>s</w:t>
            </w:r>
            <w:r w:rsidR="00CB1012" w:rsidRPr="00CB1012">
              <w:rPr>
                <w:color w:val="000000"/>
                <w:lang w:val="en-GB" w:eastAsia="nb-NO"/>
              </w:rPr>
              <w:t>e</w:t>
            </w:r>
            <w:r w:rsidR="00CB1012">
              <w:rPr>
                <w:color w:val="000000"/>
                <w:lang w:val="en-GB" w:eastAsia="nb-NO"/>
              </w:rPr>
              <w:t>ction</w:t>
            </w:r>
            <w:r w:rsidRPr="00834DA6">
              <w:rPr>
                <w:color w:val="000000"/>
                <w:lang w:val="en-GB" w:eastAsia="nb-NO"/>
              </w:rPr>
              <w:t xml:space="preserve"> 3.2</w:t>
            </w:r>
          </w:p>
        </w:tc>
        <w:tc>
          <w:tcPr>
            <w:tcW w:w="1701" w:type="dxa"/>
            <w:tcBorders>
              <w:top w:val="nil"/>
              <w:left w:val="nil"/>
              <w:bottom w:val="single" w:sz="8" w:space="0" w:color="auto"/>
              <w:right w:val="single" w:sz="8" w:space="0" w:color="auto"/>
            </w:tcBorders>
            <w:hideMark/>
          </w:tcPr>
          <w:p w14:paraId="1099D5EE" w14:textId="77777777" w:rsidR="00BC02B9" w:rsidRPr="00834DA6" w:rsidRDefault="00BC02B9">
            <w:pPr>
              <w:rPr>
                <w:color w:val="000000"/>
                <w:lang w:val="en-GB" w:eastAsia="nb-NO"/>
              </w:rPr>
            </w:pPr>
            <w:r w:rsidRPr="00834DA6">
              <w:rPr>
                <w:color w:val="000000"/>
                <w:lang w:val="en-GB" w:eastAsia="nb-NO"/>
              </w:rPr>
              <w:t>Not relevant</w:t>
            </w:r>
          </w:p>
        </w:tc>
        <w:tc>
          <w:tcPr>
            <w:tcW w:w="1701" w:type="dxa"/>
            <w:tcBorders>
              <w:top w:val="nil"/>
              <w:left w:val="nil"/>
              <w:bottom w:val="single" w:sz="8" w:space="0" w:color="auto"/>
              <w:right w:val="single" w:sz="8" w:space="0" w:color="auto"/>
            </w:tcBorders>
            <w:hideMark/>
          </w:tcPr>
          <w:p w14:paraId="78B0C96C" w14:textId="21A13262" w:rsidR="00BC02B9" w:rsidRPr="00834DA6" w:rsidRDefault="00A07172">
            <w:pPr>
              <w:rPr>
                <w:color w:val="000000"/>
                <w:lang w:val="en-GB" w:eastAsia="nb-NO"/>
              </w:rPr>
            </w:pPr>
            <w:r>
              <w:rPr>
                <w:color w:val="000000"/>
                <w:lang w:val="en-GB" w:eastAsia="nb-NO"/>
              </w:rPr>
              <w:t>Section</w:t>
            </w:r>
            <w:r w:rsidR="00BC02B9" w:rsidRPr="00834DA6">
              <w:rPr>
                <w:color w:val="000000"/>
                <w:lang w:val="en-GB" w:eastAsia="nb-NO"/>
              </w:rPr>
              <w:t xml:space="preserve"> 6.3</w:t>
            </w:r>
          </w:p>
        </w:tc>
      </w:tr>
      <w:tr w:rsidR="00BC02B9" w:rsidRPr="00834DA6" w14:paraId="30B4855E"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239028" w14:textId="77777777" w:rsidR="00BC02B9" w:rsidRPr="0073617C" w:rsidRDefault="00BC02B9">
            <w:pPr>
              <w:rPr>
                <w:color w:val="000000"/>
                <w:lang w:val="en-GB" w:eastAsia="nb-NO"/>
              </w:rPr>
            </w:pP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345E126B" w14:textId="77777777" w:rsidR="00BC02B9" w:rsidRPr="000C23F1" w:rsidRDefault="00BC02B9">
            <w:pPr>
              <w:rPr>
                <w:color w:val="000000"/>
                <w:lang w:val="en-GB" w:eastAsia="nb-NO"/>
              </w:rPr>
            </w:pPr>
            <w:r w:rsidRPr="000C23F1">
              <w:rPr>
                <w:color w:val="000000"/>
                <w:lang w:val="en-GB" w:eastAsia="nb-NO"/>
              </w:rPr>
              <w:t>Annual</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17F55C14" w14:textId="77777777" w:rsidR="00BC02B9" w:rsidRPr="00834DA6" w:rsidRDefault="00BC02B9">
            <w:pPr>
              <w:rPr>
                <w:color w:val="000000"/>
                <w:lang w:val="en-GB" w:eastAsia="nb-NO"/>
              </w:rPr>
            </w:pPr>
            <w:r w:rsidRPr="00834DA6">
              <w:rPr>
                <w:color w:val="000000"/>
                <w:lang w:val="en-GB" w:eastAsia="nb-NO"/>
              </w:rPr>
              <w:t>Not relevant</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3ADA3080" w14:textId="67B14481" w:rsidR="00BC02B9" w:rsidRPr="00834DA6" w:rsidRDefault="00BC02B9">
            <w:pPr>
              <w:rPr>
                <w:color w:val="000000"/>
                <w:lang w:val="en-GB" w:eastAsia="nb-NO"/>
              </w:rPr>
            </w:pPr>
            <w:r w:rsidRPr="00834DA6">
              <w:rPr>
                <w:color w:val="000000"/>
                <w:lang w:val="en-GB" w:eastAsia="nb-NO"/>
              </w:rPr>
              <w:t xml:space="preserve">Shall apply in the event of flaring and/or </w:t>
            </w:r>
            <w:proofErr w:type="gramStart"/>
            <w:r w:rsidRPr="00834DA6">
              <w:rPr>
                <w:color w:val="000000"/>
                <w:lang w:val="en-GB" w:eastAsia="nb-NO"/>
              </w:rPr>
              <w:t>cold-venting</w:t>
            </w:r>
            <w:proofErr w:type="gramEnd"/>
            <w:r w:rsidRPr="00834DA6">
              <w:rPr>
                <w:color w:val="000000"/>
                <w:lang w:val="en-GB" w:eastAsia="nb-NO"/>
              </w:rPr>
              <w:t xml:space="preserve"> at the facility, </w:t>
            </w:r>
            <w:r w:rsidR="00CB1012">
              <w:rPr>
                <w:color w:val="000000"/>
                <w:lang w:val="en-GB" w:eastAsia="nb-NO"/>
              </w:rPr>
              <w:t>section</w:t>
            </w:r>
            <w:r w:rsidRPr="00834DA6">
              <w:rPr>
                <w:color w:val="000000"/>
                <w:lang w:val="en-GB" w:eastAsia="nb-NO"/>
              </w:rPr>
              <w:t xml:space="preserve"> 4.2</w:t>
            </w:r>
          </w:p>
        </w:tc>
        <w:tc>
          <w:tcPr>
            <w:tcW w:w="1701" w:type="dxa"/>
            <w:tcBorders>
              <w:top w:val="nil"/>
              <w:left w:val="nil"/>
              <w:bottom w:val="single" w:sz="8" w:space="0" w:color="auto"/>
              <w:right w:val="single" w:sz="8" w:space="0" w:color="auto"/>
            </w:tcBorders>
            <w:hideMark/>
          </w:tcPr>
          <w:p w14:paraId="5F83720B" w14:textId="77777777" w:rsidR="00BC02B9" w:rsidRPr="00834DA6" w:rsidRDefault="00BC02B9">
            <w:pPr>
              <w:rPr>
                <w:color w:val="000000"/>
                <w:lang w:val="en-GB" w:eastAsia="nb-NO"/>
              </w:rPr>
            </w:pPr>
            <w:r w:rsidRPr="00834DA6">
              <w:rPr>
                <w:color w:val="000000"/>
                <w:lang w:val="en-GB" w:eastAsia="nb-NO"/>
              </w:rPr>
              <w:t>Not relevant</w:t>
            </w:r>
          </w:p>
        </w:tc>
        <w:tc>
          <w:tcPr>
            <w:tcW w:w="1701" w:type="dxa"/>
            <w:tcBorders>
              <w:top w:val="nil"/>
              <w:left w:val="nil"/>
              <w:bottom w:val="single" w:sz="8" w:space="0" w:color="auto"/>
              <w:right w:val="single" w:sz="8" w:space="0" w:color="auto"/>
            </w:tcBorders>
            <w:hideMark/>
          </w:tcPr>
          <w:p w14:paraId="50BAFE24" w14:textId="0CB78048" w:rsidR="00BC02B9" w:rsidRPr="00834DA6" w:rsidRDefault="00A07172">
            <w:pPr>
              <w:rPr>
                <w:color w:val="000000"/>
                <w:lang w:val="en-GB" w:eastAsia="nb-NO"/>
              </w:rPr>
            </w:pPr>
            <w:r>
              <w:rPr>
                <w:color w:val="000000"/>
                <w:lang w:val="en-GB" w:eastAsia="nb-NO"/>
              </w:rPr>
              <w:t>S</w:t>
            </w:r>
            <w:r w:rsidR="00CB1012">
              <w:rPr>
                <w:color w:val="000000"/>
                <w:lang w:val="en-GB" w:eastAsia="nb-NO"/>
              </w:rPr>
              <w:t>ection</w:t>
            </w:r>
            <w:r w:rsidR="00BC02B9" w:rsidRPr="00834DA6">
              <w:rPr>
                <w:color w:val="000000"/>
                <w:lang w:val="en-GB" w:eastAsia="nb-NO"/>
              </w:rPr>
              <w:t xml:space="preserve"> 6.3</w:t>
            </w:r>
          </w:p>
        </w:tc>
      </w:tr>
    </w:tbl>
    <w:p w14:paraId="186D3C45" w14:textId="77777777" w:rsidR="00BC02B9" w:rsidRPr="0073617C" w:rsidRDefault="00BC02B9" w:rsidP="00BC02B9">
      <w:pPr>
        <w:spacing w:after="200" w:line="276" w:lineRule="auto"/>
        <w:rPr>
          <w:b/>
          <w:bCs/>
          <w:sz w:val="28"/>
          <w:szCs w:val="28"/>
          <w:lang w:val="en-GB"/>
        </w:rPr>
      </w:pPr>
    </w:p>
    <w:p w14:paraId="4F3FB282" w14:textId="42436E72" w:rsidR="00D10D93" w:rsidRPr="008E52B7" w:rsidRDefault="00D10D93" w:rsidP="002F0680">
      <w:pPr>
        <w:pStyle w:val="Sammendrag"/>
        <w:rPr>
          <w:b w:val="0"/>
          <w:bCs/>
        </w:rPr>
      </w:pPr>
    </w:p>
    <w:sectPr w:rsidR="00D10D93" w:rsidRPr="008E52B7" w:rsidSect="00BC02B9">
      <w:footerReference w:type="default" r:id="rId32"/>
      <w:footerReference w:type="first" r:id="rId33"/>
      <w:pgSz w:w="11906" w:h="16838" w:code="9"/>
      <w:pgMar w:top="28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5307" w14:textId="77777777" w:rsidR="00397526" w:rsidRDefault="00397526">
      <w:r>
        <w:separator/>
      </w:r>
    </w:p>
  </w:endnote>
  <w:endnote w:type="continuationSeparator" w:id="0">
    <w:p w14:paraId="2D88203D" w14:textId="77777777" w:rsidR="00397526" w:rsidRDefault="00397526">
      <w:r>
        <w:continuationSeparator/>
      </w:r>
    </w:p>
  </w:endnote>
  <w:endnote w:type="continuationNotice" w:id="1">
    <w:p w14:paraId="55D790D1" w14:textId="77777777" w:rsidR="00397526" w:rsidRDefault="00397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76860"/>
      <w:docPartObj>
        <w:docPartGallery w:val="Page Numbers (Bottom of Page)"/>
        <w:docPartUnique/>
      </w:docPartObj>
    </w:sdtPr>
    <w:sdtEndPr/>
    <w:sdtContent>
      <w:p w14:paraId="681E6D8A" w14:textId="77777777" w:rsidR="007E24C3" w:rsidRDefault="007E24C3">
        <w:pPr>
          <w:pStyle w:val="Bunntekst"/>
        </w:pPr>
        <w:r>
          <w:fldChar w:fldCharType="begin"/>
        </w:r>
        <w:r>
          <w:instrText>PAGE   \* MERGEFORMAT</w:instrText>
        </w:r>
        <w:r>
          <w:fldChar w:fldCharType="separate"/>
        </w:r>
        <w:r>
          <w:t>2</w:t>
        </w:r>
        <w:r>
          <w:fldChar w:fldCharType="end"/>
        </w:r>
      </w:p>
    </w:sdtContent>
  </w:sdt>
  <w:p w14:paraId="725D3DD1" w14:textId="77777777" w:rsidR="00663D41" w:rsidRPr="00CA0686" w:rsidRDefault="00663D41" w:rsidP="00CA06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750358"/>
      <w:docPartObj>
        <w:docPartGallery w:val="Page Numbers (Bottom of Page)"/>
        <w:docPartUnique/>
      </w:docPartObj>
    </w:sdtPr>
    <w:sdtEndPr/>
    <w:sdtContent>
      <w:p w14:paraId="4E0953FE" w14:textId="77777777" w:rsidR="007F4DA7" w:rsidRDefault="000739CF">
        <w:pPr>
          <w:pStyle w:val="Bunntekst"/>
        </w:pPr>
        <w:r>
          <w:fldChar w:fldCharType="begin"/>
        </w:r>
        <w:r>
          <w:instrText>PAGE   \* MERGEFORMAT</w:instrText>
        </w:r>
        <w:r>
          <w:fldChar w:fldCharType="separate"/>
        </w:r>
        <w:r>
          <w:t>2</w:t>
        </w:r>
        <w:r>
          <w:fldChar w:fldCharType="end"/>
        </w:r>
      </w:p>
    </w:sdtContent>
  </w:sdt>
  <w:p w14:paraId="56E8111D" w14:textId="77777777" w:rsidR="007F4DA7" w:rsidRDefault="007F4DA7" w:rsidP="006950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65A5" w14:textId="77777777" w:rsidR="007F4DA7" w:rsidRDefault="000739CF">
    <w:pPr>
      <w:pStyle w:val="Bunntekst"/>
    </w:pPr>
    <w:r>
      <w:rPr>
        <w:lang w:val="en-GB"/>
      </w:rPr>
      <w:t xml:space="preserve">- </w:t>
    </w:r>
    <w:r>
      <w:fldChar w:fldCharType="begin"/>
    </w:r>
    <w:r>
      <w:instrText>PAGE   \* MERGEFORMAT</w:instrText>
    </w:r>
    <w:r>
      <w:fldChar w:fldCharType="separate"/>
    </w:r>
    <w:r>
      <w:rPr>
        <w:noProof/>
      </w:rPr>
      <w:t>1</w:t>
    </w:r>
    <w:r>
      <w:fldChar w:fldCharType="end"/>
    </w: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EC7D" w14:textId="77777777" w:rsidR="00397526" w:rsidRDefault="00397526" w:rsidP="00425787">
      <w:r>
        <w:separator/>
      </w:r>
    </w:p>
  </w:footnote>
  <w:footnote w:type="continuationSeparator" w:id="0">
    <w:p w14:paraId="7D4828B0" w14:textId="77777777" w:rsidR="00397526" w:rsidRDefault="00397526" w:rsidP="00425787">
      <w:r>
        <w:continuationSeparator/>
      </w:r>
    </w:p>
  </w:footnote>
  <w:footnote w:type="continuationNotice" w:id="1">
    <w:p w14:paraId="4A4E5027" w14:textId="77777777" w:rsidR="00397526" w:rsidRDefault="00397526"/>
  </w:footnote>
  <w:footnote w:id="2">
    <w:p w14:paraId="47D46BC4" w14:textId="48068002" w:rsidR="00BC02B9" w:rsidRPr="00B1553C" w:rsidRDefault="00BC02B9" w:rsidP="00BC02B9">
      <w:pPr>
        <w:pStyle w:val="Fotnotetekst"/>
        <w:rPr>
          <w:lang w:val="en-US"/>
        </w:rPr>
      </w:pPr>
      <w:r>
        <w:rPr>
          <w:rStyle w:val="Fotnotereferanse"/>
        </w:rPr>
        <w:footnoteRef/>
      </w:r>
      <w:r w:rsidRPr="00B1553C">
        <w:rPr>
          <w:lang w:val="en-US"/>
        </w:rPr>
        <w:t xml:space="preserve"> </w:t>
      </w:r>
      <w:r w:rsidRPr="007017AE">
        <w:rPr>
          <w:lang w:val="en-GB"/>
        </w:rPr>
        <w:t xml:space="preserve"> </w:t>
      </w:r>
      <w:r w:rsidR="00EC5282">
        <w:rPr>
          <w:lang w:val="en-GB"/>
        </w:rPr>
        <w:t xml:space="preserve">See section 7 for </w:t>
      </w:r>
      <w:r w:rsidR="00BD409C">
        <w:rPr>
          <w:lang w:val="en-GB"/>
        </w:rPr>
        <w:t>reference to the regulations</w:t>
      </w:r>
    </w:p>
  </w:footnote>
  <w:footnote w:id="3">
    <w:p w14:paraId="5BC0B2E4" w14:textId="63959BE5" w:rsidR="00631A3B" w:rsidRPr="00382EF3" w:rsidRDefault="00631A3B">
      <w:pPr>
        <w:pStyle w:val="Fotnotetekst"/>
        <w:rPr>
          <w:lang w:val="en-GB"/>
        </w:rPr>
      </w:pPr>
      <w:r>
        <w:rPr>
          <w:rStyle w:val="Fotnotereferanse"/>
        </w:rPr>
        <w:footnoteRef/>
      </w:r>
      <w:r w:rsidRPr="00382EF3">
        <w:rPr>
          <w:lang w:val="en-GB"/>
        </w:rPr>
        <w:t xml:space="preserve"> </w:t>
      </w:r>
      <w:r w:rsidR="00D266C5">
        <w:rPr>
          <w:lang w:val="en-GB"/>
        </w:rPr>
        <w:t xml:space="preserve"> </w:t>
      </w:r>
      <w:r w:rsidRPr="00382EF3">
        <w:rPr>
          <w:lang w:val="en-GB"/>
        </w:rPr>
        <w:t xml:space="preserve">See section 7 for </w:t>
      </w:r>
      <w:r w:rsidR="00382EF3" w:rsidRPr="00382EF3">
        <w:rPr>
          <w:lang w:val="en-GB"/>
        </w:rPr>
        <w:t>reference</w:t>
      </w:r>
      <w:r w:rsidRPr="00382EF3">
        <w:rPr>
          <w:lang w:val="en-GB"/>
        </w:rPr>
        <w:t xml:space="preserve"> </w:t>
      </w:r>
      <w:r w:rsidR="00382EF3" w:rsidRPr="00382EF3">
        <w:rPr>
          <w:lang w:val="en-GB"/>
        </w:rPr>
        <w:t>to t</w:t>
      </w:r>
      <w:r w:rsidR="00382EF3">
        <w:rPr>
          <w:lang w:val="en-GB"/>
        </w:rPr>
        <w:t>he regulations</w:t>
      </w:r>
    </w:p>
  </w:footnote>
  <w:footnote w:id="4">
    <w:p w14:paraId="421A074A" w14:textId="7A9B2353" w:rsidR="00382EF3" w:rsidRPr="001D1FCF" w:rsidRDefault="00382EF3">
      <w:pPr>
        <w:pStyle w:val="Fotnotetekst"/>
        <w:rPr>
          <w:lang w:val="en-GB"/>
        </w:rPr>
      </w:pPr>
      <w:r>
        <w:rPr>
          <w:rStyle w:val="Fotnotereferanse"/>
        </w:rPr>
        <w:footnoteRef/>
      </w:r>
      <w:r w:rsidRPr="001D1FCF">
        <w:rPr>
          <w:lang w:val="en-GB"/>
        </w:rPr>
        <w:t xml:space="preserve"> </w:t>
      </w:r>
      <w:r w:rsidR="001D1FCF" w:rsidRPr="001D1FCF">
        <w:rPr>
          <w:lang w:val="en-GB"/>
        </w:rPr>
        <w:t xml:space="preserve">The </w:t>
      </w:r>
      <w:r w:rsidR="00F864DC">
        <w:rPr>
          <w:lang w:val="en-GB"/>
        </w:rPr>
        <w:t xml:space="preserve">flexibility </w:t>
      </w:r>
      <w:r w:rsidR="001E1D8E">
        <w:rPr>
          <w:lang w:val="en-GB"/>
        </w:rPr>
        <w:t xml:space="preserve">of </w:t>
      </w:r>
      <w:r w:rsidR="001D1FCF" w:rsidRPr="001D1FCF">
        <w:rPr>
          <w:lang w:val="en-GB"/>
        </w:rPr>
        <w:t>10 per</w:t>
      </w:r>
      <w:r w:rsidR="00064D19">
        <w:rPr>
          <w:lang w:val="en-GB"/>
        </w:rPr>
        <w:t xml:space="preserve"> </w:t>
      </w:r>
      <w:r w:rsidR="001D1FCF" w:rsidRPr="001D1FCF">
        <w:rPr>
          <w:lang w:val="en-GB"/>
        </w:rPr>
        <w:t xml:space="preserve">cent </w:t>
      </w:r>
      <w:r w:rsidR="001E1D8E">
        <w:rPr>
          <w:lang w:val="en-GB"/>
        </w:rPr>
        <w:t xml:space="preserve">for </w:t>
      </w:r>
      <w:r w:rsidR="009F14C3">
        <w:rPr>
          <w:lang w:val="en-GB"/>
        </w:rPr>
        <w:t>liquids</w:t>
      </w:r>
      <w:r w:rsidR="001D1FCF" w:rsidRPr="001D1FCF">
        <w:rPr>
          <w:lang w:val="en-GB"/>
        </w:rPr>
        <w:t xml:space="preserve"> applies p</w:t>
      </w:r>
      <w:r w:rsidR="001D1FCF">
        <w:rPr>
          <w:lang w:val="en-GB"/>
        </w:rPr>
        <w:t>er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F00E" w14:textId="77777777" w:rsidR="00663D41" w:rsidRDefault="00663D41" w:rsidP="007F206D">
    <w:pPr>
      <w:pStyle w:val="Topptekst"/>
    </w:pPr>
  </w:p>
  <w:p w14:paraId="38F22673" w14:textId="77777777" w:rsidR="00663D41" w:rsidRDefault="00D43FB9" w:rsidP="00577DF1">
    <w:pPr>
      <w:pStyle w:val="Topptekst"/>
      <w:pBdr>
        <w:bottom w:val="single" w:sz="12" w:space="1" w:color="A6A6A6" w:themeColor="background1" w:themeShade="A6"/>
      </w:pBdr>
      <w:spacing w:before="260" w:after="480"/>
    </w:pPr>
    <w:r>
      <w:t xml:space="preserve">Guidelines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228F" w14:textId="77777777" w:rsidR="00663D41" w:rsidRDefault="00663D41" w:rsidP="0070503F">
    <w:pPr>
      <w:pStyle w:val="Topptekst"/>
      <w:spacing w:before="600"/>
      <w:jc w:val="center"/>
    </w:pPr>
  </w:p>
  <w:p w14:paraId="7B179F8A" w14:textId="77777777" w:rsidR="003C53EE" w:rsidRPr="003C53EE" w:rsidRDefault="003C53EE" w:rsidP="003C53EE">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4DC2" w14:textId="77777777" w:rsidR="00663D41" w:rsidRDefault="00663D41" w:rsidP="008D49C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855C" w14:textId="77777777" w:rsidR="00663D41" w:rsidRDefault="00663D41">
    <w:pPr>
      <w:pStyle w:val="Topptekst"/>
    </w:pPr>
  </w:p>
  <w:p w14:paraId="22C3E67A" w14:textId="77777777" w:rsidR="00663D41" w:rsidRDefault="00CC4378" w:rsidP="00577DF1">
    <w:pPr>
      <w:pStyle w:val="Topptekst"/>
      <w:pBdr>
        <w:bottom w:val="single" w:sz="12" w:space="1" w:color="A6A6A6" w:themeColor="background1" w:themeShade="A6"/>
      </w:pBdr>
      <w:spacing w:before="260" w:after="480"/>
    </w:pPr>
    <w:sdt>
      <w:sdtPr>
        <w:alias w:val="Tittel"/>
        <w:id w:val="1929518454"/>
        <w:dataBinding w:prefixMappings="xmlns:ns0='http://purl.org/dc/elements/1.1/' xmlns:ns1='http://schemas.openxmlformats.org/package/2006/metadata/core-properties' " w:xpath="/ns1:coreProperties[1]/ns0:title[1]" w:storeItemID="{6C3C8BC8-F283-45AE-878A-BAB7291924A1}"/>
        <w:text/>
      </w:sdtPr>
      <w:sdtEndPr/>
      <w:sdtContent>
        <w:r w:rsidR="001F27FD">
          <w:t>Guideline</w:t>
        </w:r>
        <w:r w:rsidR="00502BDF">
          <w:t xml:space="preserve"> (engelsk)</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1" w15:restartNumberingAfterBreak="0">
    <w:nsid w:val="21486D75"/>
    <w:multiLevelType w:val="multilevel"/>
    <w:tmpl w:val="179884AC"/>
    <w:numStyleLink w:val="Headings"/>
  </w:abstractNum>
  <w:abstractNum w:abstractNumId="2" w15:restartNumberingAfterBreak="0">
    <w:nsid w:val="2EC50818"/>
    <w:multiLevelType w:val="hybridMultilevel"/>
    <w:tmpl w:val="577CC1BC"/>
    <w:styleLink w:val="Nummerliste"/>
    <w:lvl w:ilvl="0" w:tplc="6DEA05C0">
      <w:start w:val="1"/>
      <w:numFmt w:val="decimal"/>
      <w:pStyle w:val="Nummerertliste"/>
      <w:lvlText w:val="%1."/>
      <w:lvlJc w:val="left"/>
      <w:pPr>
        <w:ind w:left="425" w:hanging="425"/>
      </w:pPr>
      <w:rPr>
        <w:rFonts w:hint="default"/>
      </w:rPr>
    </w:lvl>
    <w:lvl w:ilvl="1" w:tplc="D0886F34">
      <w:start w:val="1"/>
      <w:numFmt w:val="lowerLetter"/>
      <w:pStyle w:val="Nummerertliste2"/>
      <w:lvlText w:val="%2."/>
      <w:lvlJc w:val="left"/>
      <w:pPr>
        <w:ind w:left="850" w:hanging="425"/>
      </w:pPr>
      <w:rPr>
        <w:rFonts w:hint="default"/>
      </w:rPr>
    </w:lvl>
    <w:lvl w:ilvl="2" w:tplc="9B6E31E8">
      <w:start w:val="1"/>
      <w:numFmt w:val="decimal"/>
      <w:pStyle w:val="Nummerertliste3"/>
      <w:lvlText w:val="%3)"/>
      <w:lvlJc w:val="left"/>
      <w:pPr>
        <w:ind w:left="1275" w:hanging="425"/>
      </w:pPr>
      <w:rPr>
        <w:rFonts w:hint="default"/>
      </w:rPr>
    </w:lvl>
    <w:lvl w:ilvl="3" w:tplc="DB8C153A">
      <w:start w:val="1"/>
      <w:numFmt w:val="lowerLetter"/>
      <w:pStyle w:val="Nummerertliste4"/>
      <w:lvlText w:val="%4)"/>
      <w:lvlJc w:val="left"/>
      <w:pPr>
        <w:ind w:left="1700" w:hanging="425"/>
      </w:pPr>
      <w:rPr>
        <w:rFonts w:hint="default"/>
      </w:rPr>
    </w:lvl>
    <w:lvl w:ilvl="4" w:tplc="CD46865E">
      <w:start w:val="1"/>
      <w:numFmt w:val="decimal"/>
      <w:pStyle w:val="Nummerertliste5"/>
      <w:lvlText w:val="(%5)"/>
      <w:lvlJc w:val="left"/>
      <w:pPr>
        <w:ind w:left="2125" w:hanging="425"/>
      </w:pPr>
      <w:rPr>
        <w:rFonts w:hint="default"/>
      </w:rPr>
    </w:lvl>
    <w:lvl w:ilvl="5" w:tplc="2D2410CA">
      <w:start w:val="1"/>
      <w:numFmt w:val="lowerLetter"/>
      <w:lvlText w:val="(%6)"/>
      <w:lvlJc w:val="left"/>
      <w:pPr>
        <w:ind w:left="2550" w:hanging="425"/>
      </w:pPr>
      <w:rPr>
        <w:rFonts w:hint="default"/>
      </w:rPr>
    </w:lvl>
    <w:lvl w:ilvl="6" w:tplc="52109F10">
      <w:start w:val="1"/>
      <w:numFmt w:val="decimal"/>
      <w:lvlText w:val="%7."/>
      <w:lvlJc w:val="left"/>
      <w:pPr>
        <w:ind w:left="2975" w:hanging="425"/>
      </w:pPr>
      <w:rPr>
        <w:rFonts w:hint="default"/>
      </w:rPr>
    </w:lvl>
    <w:lvl w:ilvl="7" w:tplc="AEA2EF76">
      <w:start w:val="1"/>
      <w:numFmt w:val="lowerLetter"/>
      <w:lvlText w:val="%8."/>
      <w:lvlJc w:val="left"/>
      <w:pPr>
        <w:ind w:left="3400" w:hanging="425"/>
      </w:pPr>
      <w:rPr>
        <w:rFonts w:hint="default"/>
      </w:rPr>
    </w:lvl>
    <w:lvl w:ilvl="8" w:tplc="00808CAE">
      <w:start w:val="1"/>
      <w:numFmt w:val="lowerRoman"/>
      <w:lvlText w:val="%9."/>
      <w:lvlJc w:val="left"/>
      <w:pPr>
        <w:ind w:left="3825" w:hanging="425"/>
      </w:pPr>
      <w:rPr>
        <w:rFonts w:hint="default"/>
      </w:rPr>
    </w:lvl>
  </w:abstractNum>
  <w:abstractNum w:abstractNumId="3"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4" w15:restartNumberingAfterBreak="0">
    <w:nsid w:val="6A8419CA"/>
    <w:multiLevelType w:val="multilevel"/>
    <w:tmpl w:val="1F5EE0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05923152">
    <w:abstractNumId w:val="0"/>
  </w:num>
  <w:num w:numId="2" w16cid:durableId="722212429">
    <w:abstractNumId w:val="3"/>
  </w:num>
  <w:num w:numId="3" w16cid:durableId="8214965">
    <w:abstractNumId w:val="2"/>
  </w:num>
  <w:num w:numId="4" w16cid:durableId="1952056301">
    <w:abstractNumId w:val="1"/>
    <w:lvlOverride w:ilvl="0">
      <w:lvl w:ilvl="0">
        <w:start w:val="1"/>
        <w:numFmt w:val="decimal"/>
        <w:lvlText w:val="%1"/>
        <w:lvlJc w:val="left"/>
        <w:pPr>
          <w:ind w:left="425" w:hanging="425"/>
        </w:pPr>
        <w:rPr>
          <w:rFonts w:hint="default"/>
        </w:rPr>
      </w:lvl>
    </w:lvlOverride>
    <w:lvlOverride w:ilvl="1">
      <w:lvl w:ilvl="1">
        <w:start w:val="1"/>
        <w:numFmt w:val="decimal"/>
        <w:suff w:val="space"/>
        <w:lvlText w:val="%1.%2"/>
        <w:lvlJc w:val="left"/>
        <w:pPr>
          <w:ind w:left="567" w:hanging="567"/>
        </w:pPr>
        <w:rPr>
          <w:rFonts w:hint="default"/>
        </w:rPr>
      </w:lvl>
    </w:lvlOverride>
    <w:lvlOverride w:ilvl="2">
      <w:lvl w:ilvl="2">
        <w:start w:val="1"/>
        <w:numFmt w:val="decimal"/>
        <w:suff w:val="space"/>
        <w:lvlText w:val="%1.%2.%3"/>
        <w:lvlJc w:val="left"/>
        <w:pPr>
          <w:ind w:left="567" w:hanging="567"/>
        </w:pPr>
        <w:rPr>
          <w:rFonts w:hint="default"/>
        </w:rPr>
      </w:lvl>
    </w:lvlOverride>
    <w:lvlOverride w:ilvl="3">
      <w:lvl w:ilvl="3">
        <w:start w:val="1"/>
        <w:numFmt w:val="decimal"/>
        <w:suff w:val="space"/>
        <w:lvlText w:val="%1.%2.%3.%4"/>
        <w:lvlJc w:val="left"/>
        <w:pPr>
          <w:ind w:left="567" w:hanging="567"/>
        </w:pPr>
        <w:rPr>
          <w:rFonts w:hint="default"/>
        </w:rPr>
      </w:lvl>
    </w:lvlOverride>
    <w:lvlOverride w:ilvl="4">
      <w:lvl w:ilvl="4">
        <w:start w:val="1"/>
        <w:numFmt w:val="decimal"/>
        <w:suff w:val="space"/>
        <w:lvlText w:val="%1.%2.%3.%4.%5"/>
        <w:lvlJc w:val="left"/>
        <w:pPr>
          <w:ind w:left="567" w:hanging="567"/>
        </w:pPr>
        <w:rPr>
          <w:rFonts w:hint="default"/>
        </w:rPr>
      </w:lvl>
    </w:lvlOverride>
    <w:lvlOverride w:ilvl="5">
      <w:lvl w:ilvl="5">
        <w:start w:val="1"/>
        <w:numFmt w:val="none"/>
        <w:suff w:val="space"/>
        <w:lvlText w:val=""/>
        <w:lvlJc w:val="left"/>
        <w:pPr>
          <w:ind w:left="567" w:hanging="567"/>
        </w:pPr>
        <w:rPr>
          <w:rFonts w:hint="default"/>
        </w:rPr>
      </w:lvl>
    </w:lvlOverride>
    <w:lvlOverride w:ilvl="6">
      <w:lvl w:ilvl="6">
        <w:start w:val="1"/>
        <w:numFmt w:val="none"/>
        <w:suff w:val="space"/>
        <w:lvlText w:val=""/>
        <w:lvlJc w:val="left"/>
        <w:pPr>
          <w:ind w:left="567" w:hanging="567"/>
        </w:pPr>
        <w:rPr>
          <w:rFonts w:hint="default"/>
        </w:rPr>
      </w:lvl>
    </w:lvlOverride>
    <w:lvlOverride w:ilvl="7">
      <w:lvl w:ilvl="7">
        <w:start w:val="1"/>
        <w:numFmt w:val="none"/>
        <w:suff w:val="space"/>
        <w:lvlText w:val=""/>
        <w:lvlJc w:val="left"/>
        <w:pPr>
          <w:ind w:left="567" w:hanging="567"/>
        </w:pPr>
        <w:rPr>
          <w:rFonts w:hint="default"/>
        </w:rPr>
      </w:lvl>
    </w:lvlOverride>
    <w:lvlOverride w:ilvl="8">
      <w:lvl w:ilvl="8">
        <w:start w:val="1"/>
        <w:numFmt w:val="none"/>
        <w:suff w:val="space"/>
        <w:lvlText w:val=""/>
        <w:lvlJc w:val="left"/>
        <w:pPr>
          <w:ind w:left="567" w:hanging="567"/>
        </w:pPr>
        <w:rPr>
          <w:rFonts w:hint="default"/>
        </w:rPr>
      </w:lvl>
    </w:lvlOverride>
  </w:num>
  <w:num w:numId="5" w16cid:durableId="21281138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66"/>
    <w:rsid w:val="00005622"/>
    <w:rsid w:val="00014B06"/>
    <w:rsid w:val="00016DE2"/>
    <w:rsid w:val="00021980"/>
    <w:rsid w:val="0002358C"/>
    <w:rsid w:val="00025D60"/>
    <w:rsid w:val="000306F1"/>
    <w:rsid w:val="00035BFF"/>
    <w:rsid w:val="000368CE"/>
    <w:rsid w:val="000409C9"/>
    <w:rsid w:val="000432B9"/>
    <w:rsid w:val="000441D8"/>
    <w:rsid w:val="00044C09"/>
    <w:rsid w:val="00047074"/>
    <w:rsid w:val="00053EEA"/>
    <w:rsid w:val="00056C2A"/>
    <w:rsid w:val="0006131F"/>
    <w:rsid w:val="000613C1"/>
    <w:rsid w:val="00064D19"/>
    <w:rsid w:val="00072366"/>
    <w:rsid w:val="000739CF"/>
    <w:rsid w:val="000757E9"/>
    <w:rsid w:val="000763C0"/>
    <w:rsid w:val="00086C9C"/>
    <w:rsid w:val="00097A44"/>
    <w:rsid w:val="000A6678"/>
    <w:rsid w:val="000B1D4D"/>
    <w:rsid w:val="000B2DA5"/>
    <w:rsid w:val="000B4A9F"/>
    <w:rsid w:val="000C0C63"/>
    <w:rsid w:val="000C124E"/>
    <w:rsid w:val="000C29AD"/>
    <w:rsid w:val="000C4A7D"/>
    <w:rsid w:val="000C66F9"/>
    <w:rsid w:val="000D04AF"/>
    <w:rsid w:val="000D0E1F"/>
    <w:rsid w:val="000D3AB7"/>
    <w:rsid w:val="000E1047"/>
    <w:rsid w:val="000E23B1"/>
    <w:rsid w:val="000E5DB6"/>
    <w:rsid w:val="000F60FB"/>
    <w:rsid w:val="000F6DB7"/>
    <w:rsid w:val="00101556"/>
    <w:rsid w:val="00101B9D"/>
    <w:rsid w:val="001034FA"/>
    <w:rsid w:val="00103819"/>
    <w:rsid w:val="0010688C"/>
    <w:rsid w:val="001078AC"/>
    <w:rsid w:val="001101CB"/>
    <w:rsid w:val="001107D7"/>
    <w:rsid w:val="001110B7"/>
    <w:rsid w:val="00111111"/>
    <w:rsid w:val="0011225B"/>
    <w:rsid w:val="0011349C"/>
    <w:rsid w:val="0011522D"/>
    <w:rsid w:val="00115D5E"/>
    <w:rsid w:val="00121440"/>
    <w:rsid w:val="00121F91"/>
    <w:rsid w:val="001233A1"/>
    <w:rsid w:val="0012500C"/>
    <w:rsid w:val="00126E94"/>
    <w:rsid w:val="001354A4"/>
    <w:rsid w:val="0013686E"/>
    <w:rsid w:val="00140F53"/>
    <w:rsid w:val="00142D47"/>
    <w:rsid w:val="001430B2"/>
    <w:rsid w:val="0014422C"/>
    <w:rsid w:val="001474A0"/>
    <w:rsid w:val="0015067A"/>
    <w:rsid w:val="00153A12"/>
    <w:rsid w:val="00153C2D"/>
    <w:rsid w:val="00155A71"/>
    <w:rsid w:val="00156D42"/>
    <w:rsid w:val="00163BF3"/>
    <w:rsid w:val="001651B0"/>
    <w:rsid w:val="0016674D"/>
    <w:rsid w:val="00166DCC"/>
    <w:rsid w:val="00166F4D"/>
    <w:rsid w:val="0017326D"/>
    <w:rsid w:val="00175543"/>
    <w:rsid w:val="00175A9E"/>
    <w:rsid w:val="001773D6"/>
    <w:rsid w:val="00177F20"/>
    <w:rsid w:val="00180836"/>
    <w:rsid w:val="001828A0"/>
    <w:rsid w:val="00183855"/>
    <w:rsid w:val="00185F29"/>
    <w:rsid w:val="00187FA7"/>
    <w:rsid w:val="0019302C"/>
    <w:rsid w:val="001A73A0"/>
    <w:rsid w:val="001C096D"/>
    <w:rsid w:val="001C1607"/>
    <w:rsid w:val="001C198B"/>
    <w:rsid w:val="001C5A0E"/>
    <w:rsid w:val="001C638A"/>
    <w:rsid w:val="001C708C"/>
    <w:rsid w:val="001D1FCF"/>
    <w:rsid w:val="001D23DA"/>
    <w:rsid w:val="001D51ED"/>
    <w:rsid w:val="001D7CD7"/>
    <w:rsid w:val="001E1D8E"/>
    <w:rsid w:val="001E284E"/>
    <w:rsid w:val="001E2B5D"/>
    <w:rsid w:val="001E3DDA"/>
    <w:rsid w:val="001E4342"/>
    <w:rsid w:val="001E4A00"/>
    <w:rsid w:val="001E68DD"/>
    <w:rsid w:val="001F108C"/>
    <w:rsid w:val="001F15CD"/>
    <w:rsid w:val="001F1F2D"/>
    <w:rsid w:val="001F27FD"/>
    <w:rsid w:val="001F5214"/>
    <w:rsid w:val="001F7056"/>
    <w:rsid w:val="001F7AEC"/>
    <w:rsid w:val="001F7DB2"/>
    <w:rsid w:val="00203BBD"/>
    <w:rsid w:val="0020418F"/>
    <w:rsid w:val="00206BC8"/>
    <w:rsid w:val="00210656"/>
    <w:rsid w:val="00210A33"/>
    <w:rsid w:val="00210C9F"/>
    <w:rsid w:val="0021149B"/>
    <w:rsid w:val="002119E1"/>
    <w:rsid w:val="00216AA6"/>
    <w:rsid w:val="002233CE"/>
    <w:rsid w:val="0022370F"/>
    <w:rsid w:val="00225355"/>
    <w:rsid w:val="00227FF0"/>
    <w:rsid w:val="0023414D"/>
    <w:rsid w:val="0024282C"/>
    <w:rsid w:val="00243320"/>
    <w:rsid w:val="00251EB0"/>
    <w:rsid w:val="00255352"/>
    <w:rsid w:val="00255608"/>
    <w:rsid w:val="00255915"/>
    <w:rsid w:val="00256BF4"/>
    <w:rsid w:val="002653F9"/>
    <w:rsid w:val="00271D75"/>
    <w:rsid w:val="002726A5"/>
    <w:rsid w:val="002737C2"/>
    <w:rsid w:val="00276EB7"/>
    <w:rsid w:val="00277251"/>
    <w:rsid w:val="00281150"/>
    <w:rsid w:val="0028233B"/>
    <w:rsid w:val="00282D19"/>
    <w:rsid w:val="00284F35"/>
    <w:rsid w:val="00286A16"/>
    <w:rsid w:val="00286DCB"/>
    <w:rsid w:val="00287D80"/>
    <w:rsid w:val="00287DA5"/>
    <w:rsid w:val="0029053F"/>
    <w:rsid w:val="00292528"/>
    <w:rsid w:val="0029283E"/>
    <w:rsid w:val="00295788"/>
    <w:rsid w:val="002A0936"/>
    <w:rsid w:val="002A0DA1"/>
    <w:rsid w:val="002A1789"/>
    <w:rsid w:val="002A57A6"/>
    <w:rsid w:val="002A5862"/>
    <w:rsid w:val="002B28E9"/>
    <w:rsid w:val="002B2D89"/>
    <w:rsid w:val="002C280A"/>
    <w:rsid w:val="002C66DC"/>
    <w:rsid w:val="002C6EC0"/>
    <w:rsid w:val="002E2F40"/>
    <w:rsid w:val="002E53A4"/>
    <w:rsid w:val="002E5C03"/>
    <w:rsid w:val="002E60BF"/>
    <w:rsid w:val="002F0680"/>
    <w:rsid w:val="002F15DF"/>
    <w:rsid w:val="002F44BC"/>
    <w:rsid w:val="002F7BB1"/>
    <w:rsid w:val="00303751"/>
    <w:rsid w:val="0030442A"/>
    <w:rsid w:val="003044B8"/>
    <w:rsid w:val="00307BAD"/>
    <w:rsid w:val="00315155"/>
    <w:rsid w:val="00316A4B"/>
    <w:rsid w:val="00317DC1"/>
    <w:rsid w:val="00317FBD"/>
    <w:rsid w:val="003213A2"/>
    <w:rsid w:val="003266B6"/>
    <w:rsid w:val="00326D6C"/>
    <w:rsid w:val="00331607"/>
    <w:rsid w:val="00332FF1"/>
    <w:rsid w:val="003372C2"/>
    <w:rsid w:val="00337B64"/>
    <w:rsid w:val="00341167"/>
    <w:rsid w:val="0034761A"/>
    <w:rsid w:val="0035099B"/>
    <w:rsid w:val="003518A2"/>
    <w:rsid w:val="003544B4"/>
    <w:rsid w:val="00356222"/>
    <w:rsid w:val="003575F7"/>
    <w:rsid w:val="003607EF"/>
    <w:rsid w:val="00360B16"/>
    <w:rsid w:val="003672AD"/>
    <w:rsid w:val="003700CE"/>
    <w:rsid w:val="00370B65"/>
    <w:rsid w:val="003710F3"/>
    <w:rsid w:val="00372360"/>
    <w:rsid w:val="00372BE7"/>
    <w:rsid w:val="00373A94"/>
    <w:rsid w:val="00373B57"/>
    <w:rsid w:val="00374580"/>
    <w:rsid w:val="003779A7"/>
    <w:rsid w:val="00382EF3"/>
    <w:rsid w:val="00383701"/>
    <w:rsid w:val="00383E20"/>
    <w:rsid w:val="003845FD"/>
    <w:rsid w:val="003850B6"/>
    <w:rsid w:val="003919C9"/>
    <w:rsid w:val="00392025"/>
    <w:rsid w:val="00397526"/>
    <w:rsid w:val="00397949"/>
    <w:rsid w:val="00397D28"/>
    <w:rsid w:val="003A007D"/>
    <w:rsid w:val="003A0F05"/>
    <w:rsid w:val="003A1B8F"/>
    <w:rsid w:val="003A3496"/>
    <w:rsid w:val="003A38EB"/>
    <w:rsid w:val="003A4BA2"/>
    <w:rsid w:val="003B0605"/>
    <w:rsid w:val="003B0ADD"/>
    <w:rsid w:val="003B267E"/>
    <w:rsid w:val="003B4E65"/>
    <w:rsid w:val="003B68C8"/>
    <w:rsid w:val="003C1F75"/>
    <w:rsid w:val="003C3D24"/>
    <w:rsid w:val="003C4B01"/>
    <w:rsid w:val="003C53EE"/>
    <w:rsid w:val="003C5B5A"/>
    <w:rsid w:val="003D37A2"/>
    <w:rsid w:val="003D58D3"/>
    <w:rsid w:val="003E2D5C"/>
    <w:rsid w:val="003E4953"/>
    <w:rsid w:val="003E70AA"/>
    <w:rsid w:val="003E7DC0"/>
    <w:rsid w:val="003F0125"/>
    <w:rsid w:val="003F1CE0"/>
    <w:rsid w:val="003F2097"/>
    <w:rsid w:val="003F66D6"/>
    <w:rsid w:val="003F69D3"/>
    <w:rsid w:val="00405F2B"/>
    <w:rsid w:val="00414994"/>
    <w:rsid w:val="004154D3"/>
    <w:rsid w:val="0042041D"/>
    <w:rsid w:val="00420A96"/>
    <w:rsid w:val="0042431E"/>
    <w:rsid w:val="00424EEA"/>
    <w:rsid w:val="00425787"/>
    <w:rsid w:val="004263F7"/>
    <w:rsid w:val="004300EC"/>
    <w:rsid w:val="00430DC7"/>
    <w:rsid w:val="00431F3C"/>
    <w:rsid w:val="0043388D"/>
    <w:rsid w:val="00435964"/>
    <w:rsid w:val="00442D1A"/>
    <w:rsid w:val="00446A90"/>
    <w:rsid w:val="004514F6"/>
    <w:rsid w:val="00452CDA"/>
    <w:rsid w:val="00455855"/>
    <w:rsid w:val="00457278"/>
    <w:rsid w:val="00457E11"/>
    <w:rsid w:val="0047074B"/>
    <w:rsid w:val="004717EE"/>
    <w:rsid w:val="00472E36"/>
    <w:rsid w:val="004778CE"/>
    <w:rsid w:val="004803D2"/>
    <w:rsid w:val="0048073A"/>
    <w:rsid w:val="00480CF8"/>
    <w:rsid w:val="00482C7A"/>
    <w:rsid w:val="00485FDC"/>
    <w:rsid w:val="00487870"/>
    <w:rsid w:val="00487D6F"/>
    <w:rsid w:val="00491854"/>
    <w:rsid w:val="004922C5"/>
    <w:rsid w:val="004964CD"/>
    <w:rsid w:val="00496FC8"/>
    <w:rsid w:val="004A1A8E"/>
    <w:rsid w:val="004A346F"/>
    <w:rsid w:val="004B26D3"/>
    <w:rsid w:val="004B32E1"/>
    <w:rsid w:val="004B5637"/>
    <w:rsid w:val="004B6F71"/>
    <w:rsid w:val="004C7380"/>
    <w:rsid w:val="004D421E"/>
    <w:rsid w:val="004D567D"/>
    <w:rsid w:val="004D574C"/>
    <w:rsid w:val="004E2A1D"/>
    <w:rsid w:val="004E7CB8"/>
    <w:rsid w:val="004F249C"/>
    <w:rsid w:val="004F6326"/>
    <w:rsid w:val="004F66BD"/>
    <w:rsid w:val="004F746C"/>
    <w:rsid w:val="00500B1F"/>
    <w:rsid w:val="00501494"/>
    <w:rsid w:val="00502BDF"/>
    <w:rsid w:val="0050568F"/>
    <w:rsid w:val="00510EEE"/>
    <w:rsid w:val="00513254"/>
    <w:rsid w:val="005143A5"/>
    <w:rsid w:val="00514BC4"/>
    <w:rsid w:val="0052105D"/>
    <w:rsid w:val="00526304"/>
    <w:rsid w:val="00532566"/>
    <w:rsid w:val="005367A8"/>
    <w:rsid w:val="005410A1"/>
    <w:rsid w:val="00542115"/>
    <w:rsid w:val="00542FDC"/>
    <w:rsid w:val="00544551"/>
    <w:rsid w:val="005462D6"/>
    <w:rsid w:val="005464E3"/>
    <w:rsid w:val="00547B42"/>
    <w:rsid w:val="005514B1"/>
    <w:rsid w:val="00551C2F"/>
    <w:rsid w:val="00552FAF"/>
    <w:rsid w:val="00557A1F"/>
    <w:rsid w:val="00560271"/>
    <w:rsid w:val="00560E59"/>
    <w:rsid w:val="0056124A"/>
    <w:rsid w:val="00564D41"/>
    <w:rsid w:val="005650A0"/>
    <w:rsid w:val="0056626E"/>
    <w:rsid w:val="005717BE"/>
    <w:rsid w:val="00572224"/>
    <w:rsid w:val="0057322E"/>
    <w:rsid w:val="005778F3"/>
    <w:rsid w:val="00577DF1"/>
    <w:rsid w:val="00582D0B"/>
    <w:rsid w:val="00584B6A"/>
    <w:rsid w:val="00584E3E"/>
    <w:rsid w:val="0059188B"/>
    <w:rsid w:val="00592318"/>
    <w:rsid w:val="005923EB"/>
    <w:rsid w:val="00593860"/>
    <w:rsid w:val="0059492B"/>
    <w:rsid w:val="005A0600"/>
    <w:rsid w:val="005A1C69"/>
    <w:rsid w:val="005A2168"/>
    <w:rsid w:val="005A2751"/>
    <w:rsid w:val="005A48EB"/>
    <w:rsid w:val="005A4CD0"/>
    <w:rsid w:val="005A583A"/>
    <w:rsid w:val="005A7ED3"/>
    <w:rsid w:val="005B0777"/>
    <w:rsid w:val="005B2537"/>
    <w:rsid w:val="005B3727"/>
    <w:rsid w:val="005B48C6"/>
    <w:rsid w:val="005B7603"/>
    <w:rsid w:val="005B791E"/>
    <w:rsid w:val="005D2135"/>
    <w:rsid w:val="005E2229"/>
    <w:rsid w:val="005E38EC"/>
    <w:rsid w:val="005E4769"/>
    <w:rsid w:val="005E7CA9"/>
    <w:rsid w:val="005F0B43"/>
    <w:rsid w:val="005F6910"/>
    <w:rsid w:val="00600F0F"/>
    <w:rsid w:val="006048F9"/>
    <w:rsid w:val="00605111"/>
    <w:rsid w:val="00605A81"/>
    <w:rsid w:val="00607A21"/>
    <w:rsid w:val="0061112E"/>
    <w:rsid w:val="00611667"/>
    <w:rsid w:val="006132C2"/>
    <w:rsid w:val="00613EC6"/>
    <w:rsid w:val="0061440D"/>
    <w:rsid w:val="00620C56"/>
    <w:rsid w:val="00621DC5"/>
    <w:rsid w:val="0062203F"/>
    <w:rsid w:val="00622C1A"/>
    <w:rsid w:val="00623603"/>
    <w:rsid w:val="00627B7B"/>
    <w:rsid w:val="00631A3B"/>
    <w:rsid w:val="00633D20"/>
    <w:rsid w:val="0063632B"/>
    <w:rsid w:val="00636432"/>
    <w:rsid w:val="006443C9"/>
    <w:rsid w:val="00644C11"/>
    <w:rsid w:val="00647729"/>
    <w:rsid w:val="00647FC0"/>
    <w:rsid w:val="006520AB"/>
    <w:rsid w:val="0065378B"/>
    <w:rsid w:val="00653ADD"/>
    <w:rsid w:val="00656E5B"/>
    <w:rsid w:val="006617D2"/>
    <w:rsid w:val="00663D41"/>
    <w:rsid w:val="006664ED"/>
    <w:rsid w:val="00670066"/>
    <w:rsid w:val="0067087B"/>
    <w:rsid w:val="006817E0"/>
    <w:rsid w:val="00682D7C"/>
    <w:rsid w:val="0068311D"/>
    <w:rsid w:val="0068373A"/>
    <w:rsid w:val="00684E00"/>
    <w:rsid w:val="006864BA"/>
    <w:rsid w:val="00691E26"/>
    <w:rsid w:val="00694ECB"/>
    <w:rsid w:val="00695027"/>
    <w:rsid w:val="00695495"/>
    <w:rsid w:val="0069557D"/>
    <w:rsid w:val="006958C5"/>
    <w:rsid w:val="00697D32"/>
    <w:rsid w:val="006A10C2"/>
    <w:rsid w:val="006A21F1"/>
    <w:rsid w:val="006A6C62"/>
    <w:rsid w:val="006B017F"/>
    <w:rsid w:val="006B3CB5"/>
    <w:rsid w:val="006C5454"/>
    <w:rsid w:val="006C6B0C"/>
    <w:rsid w:val="006E0053"/>
    <w:rsid w:val="006E4497"/>
    <w:rsid w:val="006E4F29"/>
    <w:rsid w:val="006E5B9B"/>
    <w:rsid w:val="006F1DD5"/>
    <w:rsid w:val="006F2E91"/>
    <w:rsid w:val="006F52C6"/>
    <w:rsid w:val="00701685"/>
    <w:rsid w:val="007017AE"/>
    <w:rsid w:val="00702561"/>
    <w:rsid w:val="00704027"/>
    <w:rsid w:val="00704C17"/>
    <w:rsid w:val="0070503F"/>
    <w:rsid w:val="00713A91"/>
    <w:rsid w:val="0072472E"/>
    <w:rsid w:val="00725702"/>
    <w:rsid w:val="00727706"/>
    <w:rsid w:val="00734073"/>
    <w:rsid w:val="00735B71"/>
    <w:rsid w:val="00735BD0"/>
    <w:rsid w:val="007407A0"/>
    <w:rsid w:val="00742DEE"/>
    <w:rsid w:val="007438A9"/>
    <w:rsid w:val="00743EAF"/>
    <w:rsid w:val="00746326"/>
    <w:rsid w:val="00746CF5"/>
    <w:rsid w:val="00750787"/>
    <w:rsid w:val="00751AE7"/>
    <w:rsid w:val="007532C9"/>
    <w:rsid w:val="0075382B"/>
    <w:rsid w:val="00755A97"/>
    <w:rsid w:val="00763B27"/>
    <w:rsid w:val="00766B92"/>
    <w:rsid w:val="007675EF"/>
    <w:rsid w:val="007677D1"/>
    <w:rsid w:val="00771B97"/>
    <w:rsid w:val="00772E83"/>
    <w:rsid w:val="00773B95"/>
    <w:rsid w:val="007765D4"/>
    <w:rsid w:val="007775A7"/>
    <w:rsid w:val="007802CE"/>
    <w:rsid w:val="00785EC4"/>
    <w:rsid w:val="00787A08"/>
    <w:rsid w:val="00794618"/>
    <w:rsid w:val="00796E1E"/>
    <w:rsid w:val="007978E2"/>
    <w:rsid w:val="007A0291"/>
    <w:rsid w:val="007A03AA"/>
    <w:rsid w:val="007A0E6E"/>
    <w:rsid w:val="007A1C8A"/>
    <w:rsid w:val="007B3F70"/>
    <w:rsid w:val="007C2B15"/>
    <w:rsid w:val="007C5476"/>
    <w:rsid w:val="007C5B10"/>
    <w:rsid w:val="007C6E33"/>
    <w:rsid w:val="007D2181"/>
    <w:rsid w:val="007D51EF"/>
    <w:rsid w:val="007E24C3"/>
    <w:rsid w:val="007E4D4A"/>
    <w:rsid w:val="007F0C9D"/>
    <w:rsid w:val="007F0E15"/>
    <w:rsid w:val="007F1495"/>
    <w:rsid w:val="007F1C16"/>
    <w:rsid w:val="007F206D"/>
    <w:rsid w:val="007F4DA7"/>
    <w:rsid w:val="007F51D2"/>
    <w:rsid w:val="007F6246"/>
    <w:rsid w:val="007F79B7"/>
    <w:rsid w:val="00803CF1"/>
    <w:rsid w:val="00804B4F"/>
    <w:rsid w:val="00804F83"/>
    <w:rsid w:val="0080709F"/>
    <w:rsid w:val="008103CF"/>
    <w:rsid w:val="00811707"/>
    <w:rsid w:val="0081310E"/>
    <w:rsid w:val="00816B3B"/>
    <w:rsid w:val="00821BBE"/>
    <w:rsid w:val="00822C54"/>
    <w:rsid w:val="00830D69"/>
    <w:rsid w:val="00832D16"/>
    <w:rsid w:val="0083306C"/>
    <w:rsid w:val="008335BF"/>
    <w:rsid w:val="008337F2"/>
    <w:rsid w:val="008359A4"/>
    <w:rsid w:val="00835C79"/>
    <w:rsid w:val="00840BAD"/>
    <w:rsid w:val="008427C2"/>
    <w:rsid w:val="00844040"/>
    <w:rsid w:val="008442B7"/>
    <w:rsid w:val="0084643D"/>
    <w:rsid w:val="00851E62"/>
    <w:rsid w:val="00851E89"/>
    <w:rsid w:val="00856171"/>
    <w:rsid w:val="008579A6"/>
    <w:rsid w:val="00861CF3"/>
    <w:rsid w:val="00862C5F"/>
    <w:rsid w:val="00863FF4"/>
    <w:rsid w:val="00864B92"/>
    <w:rsid w:val="008657C9"/>
    <w:rsid w:val="00866D56"/>
    <w:rsid w:val="0087080E"/>
    <w:rsid w:val="008728E2"/>
    <w:rsid w:val="00875757"/>
    <w:rsid w:val="00875FAB"/>
    <w:rsid w:val="0087614F"/>
    <w:rsid w:val="0087657A"/>
    <w:rsid w:val="00880AB3"/>
    <w:rsid w:val="008817AE"/>
    <w:rsid w:val="00881EA6"/>
    <w:rsid w:val="008873B5"/>
    <w:rsid w:val="0089074C"/>
    <w:rsid w:val="00891D4F"/>
    <w:rsid w:val="0089270E"/>
    <w:rsid w:val="00895331"/>
    <w:rsid w:val="008A4BC8"/>
    <w:rsid w:val="008B001E"/>
    <w:rsid w:val="008B1339"/>
    <w:rsid w:val="008B187F"/>
    <w:rsid w:val="008B1A1E"/>
    <w:rsid w:val="008B4745"/>
    <w:rsid w:val="008C6927"/>
    <w:rsid w:val="008D49CA"/>
    <w:rsid w:val="008E51C6"/>
    <w:rsid w:val="008E52B7"/>
    <w:rsid w:val="008F13C7"/>
    <w:rsid w:val="008F17E4"/>
    <w:rsid w:val="008F2A2D"/>
    <w:rsid w:val="008F40A1"/>
    <w:rsid w:val="008F431B"/>
    <w:rsid w:val="008F5CEB"/>
    <w:rsid w:val="0090022B"/>
    <w:rsid w:val="009005B3"/>
    <w:rsid w:val="009043C5"/>
    <w:rsid w:val="00904C4C"/>
    <w:rsid w:val="009052BD"/>
    <w:rsid w:val="009109D2"/>
    <w:rsid w:val="00912DA6"/>
    <w:rsid w:val="00913EAA"/>
    <w:rsid w:val="009179B5"/>
    <w:rsid w:val="00921D6F"/>
    <w:rsid w:val="00932CCA"/>
    <w:rsid w:val="009345A5"/>
    <w:rsid w:val="00934E04"/>
    <w:rsid w:val="00935DD1"/>
    <w:rsid w:val="00937206"/>
    <w:rsid w:val="00940422"/>
    <w:rsid w:val="00940D2F"/>
    <w:rsid w:val="009438EE"/>
    <w:rsid w:val="009447AE"/>
    <w:rsid w:val="0094734F"/>
    <w:rsid w:val="00954522"/>
    <w:rsid w:val="009550FF"/>
    <w:rsid w:val="0095547F"/>
    <w:rsid w:val="00960C04"/>
    <w:rsid w:val="00963608"/>
    <w:rsid w:val="00966219"/>
    <w:rsid w:val="00972283"/>
    <w:rsid w:val="00973DE7"/>
    <w:rsid w:val="009745E1"/>
    <w:rsid w:val="009841A9"/>
    <w:rsid w:val="00987F73"/>
    <w:rsid w:val="00990268"/>
    <w:rsid w:val="00994B5E"/>
    <w:rsid w:val="00995B49"/>
    <w:rsid w:val="009A0733"/>
    <w:rsid w:val="009A5580"/>
    <w:rsid w:val="009A5F28"/>
    <w:rsid w:val="009B074B"/>
    <w:rsid w:val="009B128D"/>
    <w:rsid w:val="009C0A7A"/>
    <w:rsid w:val="009C1788"/>
    <w:rsid w:val="009C1E7E"/>
    <w:rsid w:val="009C1F4B"/>
    <w:rsid w:val="009C64C1"/>
    <w:rsid w:val="009D0582"/>
    <w:rsid w:val="009D09A6"/>
    <w:rsid w:val="009D17D7"/>
    <w:rsid w:val="009D2DAC"/>
    <w:rsid w:val="009D318F"/>
    <w:rsid w:val="009D4FD3"/>
    <w:rsid w:val="009D5C52"/>
    <w:rsid w:val="009D71DD"/>
    <w:rsid w:val="009D7531"/>
    <w:rsid w:val="009D7CB8"/>
    <w:rsid w:val="009E2CBA"/>
    <w:rsid w:val="009E66D2"/>
    <w:rsid w:val="009E77F3"/>
    <w:rsid w:val="009F14C3"/>
    <w:rsid w:val="009F33D4"/>
    <w:rsid w:val="009F7BB0"/>
    <w:rsid w:val="00A07172"/>
    <w:rsid w:val="00A07FAF"/>
    <w:rsid w:val="00A12B42"/>
    <w:rsid w:val="00A14281"/>
    <w:rsid w:val="00A163FF"/>
    <w:rsid w:val="00A21148"/>
    <w:rsid w:val="00A24047"/>
    <w:rsid w:val="00A30002"/>
    <w:rsid w:val="00A30416"/>
    <w:rsid w:val="00A3703F"/>
    <w:rsid w:val="00A4037C"/>
    <w:rsid w:val="00A408C3"/>
    <w:rsid w:val="00A416BA"/>
    <w:rsid w:val="00A43C96"/>
    <w:rsid w:val="00A452D6"/>
    <w:rsid w:val="00A461A0"/>
    <w:rsid w:val="00A5077B"/>
    <w:rsid w:val="00A56BE8"/>
    <w:rsid w:val="00A57A14"/>
    <w:rsid w:val="00A60C65"/>
    <w:rsid w:val="00A6296C"/>
    <w:rsid w:val="00A67730"/>
    <w:rsid w:val="00A71AE9"/>
    <w:rsid w:val="00A73C14"/>
    <w:rsid w:val="00A7487D"/>
    <w:rsid w:val="00A74B59"/>
    <w:rsid w:val="00A83D4B"/>
    <w:rsid w:val="00A873A1"/>
    <w:rsid w:val="00A91BE6"/>
    <w:rsid w:val="00A922A6"/>
    <w:rsid w:val="00A92C51"/>
    <w:rsid w:val="00A954F5"/>
    <w:rsid w:val="00AA0685"/>
    <w:rsid w:val="00AA2B01"/>
    <w:rsid w:val="00AA4DF7"/>
    <w:rsid w:val="00AA7411"/>
    <w:rsid w:val="00AA7DC8"/>
    <w:rsid w:val="00AB17F4"/>
    <w:rsid w:val="00AB2A41"/>
    <w:rsid w:val="00AB5AFE"/>
    <w:rsid w:val="00AB6DE8"/>
    <w:rsid w:val="00AC19B6"/>
    <w:rsid w:val="00AC4193"/>
    <w:rsid w:val="00AC5DDE"/>
    <w:rsid w:val="00AD1BE7"/>
    <w:rsid w:val="00AD305D"/>
    <w:rsid w:val="00AD4818"/>
    <w:rsid w:val="00AD6752"/>
    <w:rsid w:val="00AD68E0"/>
    <w:rsid w:val="00AD6992"/>
    <w:rsid w:val="00AD7530"/>
    <w:rsid w:val="00AD7BE0"/>
    <w:rsid w:val="00AE1CAA"/>
    <w:rsid w:val="00AE2CDE"/>
    <w:rsid w:val="00AE3F25"/>
    <w:rsid w:val="00AF08D3"/>
    <w:rsid w:val="00AF29A7"/>
    <w:rsid w:val="00AF2A4D"/>
    <w:rsid w:val="00AF4E24"/>
    <w:rsid w:val="00AF56ED"/>
    <w:rsid w:val="00AF5930"/>
    <w:rsid w:val="00B00CEE"/>
    <w:rsid w:val="00B039D5"/>
    <w:rsid w:val="00B15720"/>
    <w:rsid w:val="00B176C2"/>
    <w:rsid w:val="00B2114D"/>
    <w:rsid w:val="00B22B13"/>
    <w:rsid w:val="00B3110F"/>
    <w:rsid w:val="00B33DEC"/>
    <w:rsid w:val="00B373F3"/>
    <w:rsid w:val="00B40818"/>
    <w:rsid w:val="00B4328E"/>
    <w:rsid w:val="00B503AB"/>
    <w:rsid w:val="00B52DB4"/>
    <w:rsid w:val="00B54FF1"/>
    <w:rsid w:val="00B55380"/>
    <w:rsid w:val="00B55D97"/>
    <w:rsid w:val="00B60BCC"/>
    <w:rsid w:val="00B63E7B"/>
    <w:rsid w:val="00B66528"/>
    <w:rsid w:val="00B71B6B"/>
    <w:rsid w:val="00B735FE"/>
    <w:rsid w:val="00B75AE8"/>
    <w:rsid w:val="00B7720F"/>
    <w:rsid w:val="00B77885"/>
    <w:rsid w:val="00B8008D"/>
    <w:rsid w:val="00B8260A"/>
    <w:rsid w:val="00B827C2"/>
    <w:rsid w:val="00B83DB7"/>
    <w:rsid w:val="00B84EE1"/>
    <w:rsid w:val="00B85048"/>
    <w:rsid w:val="00B8511E"/>
    <w:rsid w:val="00B87232"/>
    <w:rsid w:val="00B8728F"/>
    <w:rsid w:val="00B91A71"/>
    <w:rsid w:val="00B9430F"/>
    <w:rsid w:val="00B9732C"/>
    <w:rsid w:val="00BA526A"/>
    <w:rsid w:val="00BB11F9"/>
    <w:rsid w:val="00BB1316"/>
    <w:rsid w:val="00BB3EC6"/>
    <w:rsid w:val="00BB5487"/>
    <w:rsid w:val="00BB59BF"/>
    <w:rsid w:val="00BB70CE"/>
    <w:rsid w:val="00BC02B9"/>
    <w:rsid w:val="00BC3B62"/>
    <w:rsid w:val="00BC66C3"/>
    <w:rsid w:val="00BC7423"/>
    <w:rsid w:val="00BD0770"/>
    <w:rsid w:val="00BD2A07"/>
    <w:rsid w:val="00BD409C"/>
    <w:rsid w:val="00BD628B"/>
    <w:rsid w:val="00BD6346"/>
    <w:rsid w:val="00BE1D77"/>
    <w:rsid w:val="00BE2DC9"/>
    <w:rsid w:val="00BE5AAE"/>
    <w:rsid w:val="00BF17D2"/>
    <w:rsid w:val="00BF42AC"/>
    <w:rsid w:val="00BF4731"/>
    <w:rsid w:val="00C031A9"/>
    <w:rsid w:val="00C0432A"/>
    <w:rsid w:val="00C11A16"/>
    <w:rsid w:val="00C14E69"/>
    <w:rsid w:val="00C2105E"/>
    <w:rsid w:val="00C21792"/>
    <w:rsid w:val="00C2416A"/>
    <w:rsid w:val="00C26AF0"/>
    <w:rsid w:val="00C26DF8"/>
    <w:rsid w:val="00C33C6F"/>
    <w:rsid w:val="00C356E7"/>
    <w:rsid w:val="00C371BB"/>
    <w:rsid w:val="00C37713"/>
    <w:rsid w:val="00C4146E"/>
    <w:rsid w:val="00C414A1"/>
    <w:rsid w:val="00C415D2"/>
    <w:rsid w:val="00C44539"/>
    <w:rsid w:val="00C52442"/>
    <w:rsid w:val="00C576D7"/>
    <w:rsid w:val="00C57CBB"/>
    <w:rsid w:val="00C57F82"/>
    <w:rsid w:val="00C6156F"/>
    <w:rsid w:val="00C63BD5"/>
    <w:rsid w:val="00C6480F"/>
    <w:rsid w:val="00C65422"/>
    <w:rsid w:val="00C66E2F"/>
    <w:rsid w:val="00C67499"/>
    <w:rsid w:val="00C73BDF"/>
    <w:rsid w:val="00C8087D"/>
    <w:rsid w:val="00C81B37"/>
    <w:rsid w:val="00C82A1D"/>
    <w:rsid w:val="00C83695"/>
    <w:rsid w:val="00C85E71"/>
    <w:rsid w:val="00C86ABD"/>
    <w:rsid w:val="00C941D3"/>
    <w:rsid w:val="00C95113"/>
    <w:rsid w:val="00CA0686"/>
    <w:rsid w:val="00CA1AFB"/>
    <w:rsid w:val="00CA5323"/>
    <w:rsid w:val="00CA5929"/>
    <w:rsid w:val="00CA68AE"/>
    <w:rsid w:val="00CB0768"/>
    <w:rsid w:val="00CB1012"/>
    <w:rsid w:val="00CB195E"/>
    <w:rsid w:val="00CB5676"/>
    <w:rsid w:val="00CC3776"/>
    <w:rsid w:val="00CC4378"/>
    <w:rsid w:val="00CC6A90"/>
    <w:rsid w:val="00CC72BB"/>
    <w:rsid w:val="00CD1486"/>
    <w:rsid w:val="00CD2832"/>
    <w:rsid w:val="00CD2A92"/>
    <w:rsid w:val="00CD35B1"/>
    <w:rsid w:val="00CD3CEB"/>
    <w:rsid w:val="00CD710C"/>
    <w:rsid w:val="00CE4475"/>
    <w:rsid w:val="00CE492E"/>
    <w:rsid w:val="00CF2762"/>
    <w:rsid w:val="00CF3074"/>
    <w:rsid w:val="00CF3E87"/>
    <w:rsid w:val="00CF5C58"/>
    <w:rsid w:val="00D02581"/>
    <w:rsid w:val="00D03559"/>
    <w:rsid w:val="00D04592"/>
    <w:rsid w:val="00D04A3E"/>
    <w:rsid w:val="00D04F9C"/>
    <w:rsid w:val="00D059E9"/>
    <w:rsid w:val="00D05B65"/>
    <w:rsid w:val="00D07995"/>
    <w:rsid w:val="00D07EFA"/>
    <w:rsid w:val="00D10D93"/>
    <w:rsid w:val="00D15A80"/>
    <w:rsid w:val="00D15D06"/>
    <w:rsid w:val="00D21823"/>
    <w:rsid w:val="00D22A1B"/>
    <w:rsid w:val="00D23F13"/>
    <w:rsid w:val="00D25AF3"/>
    <w:rsid w:val="00D266C5"/>
    <w:rsid w:val="00D27A7B"/>
    <w:rsid w:val="00D30774"/>
    <w:rsid w:val="00D32207"/>
    <w:rsid w:val="00D337EA"/>
    <w:rsid w:val="00D344A4"/>
    <w:rsid w:val="00D34711"/>
    <w:rsid w:val="00D37D8E"/>
    <w:rsid w:val="00D41DE3"/>
    <w:rsid w:val="00D43FB9"/>
    <w:rsid w:val="00D51816"/>
    <w:rsid w:val="00D653C3"/>
    <w:rsid w:val="00D75A84"/>
    <w:rsid w:val="00D761EB"/>
    <w:rsid w:val="00D764B6"/>
    <w:rsid w:val="00D801BF"/>
    <w:rsid w:val="00D84C1C"/>
    <w:rsid w:val="00D90606"/>
    <w:rsid w:val="00D9338F"/>
    <w:rsid w:val="00DA039C"/>
    <w:rsid w:val="00DA2DBF"/>
    <w:rsid w:val="00DA4C77"/>
    <w:rsid w:val="00DA7032"/>
    <w:rsid w:val="00DA7C74"/>
    <w:rsid w:val="00DB0E9B"/>
    <w:rsid w:val="00DB1B3F"/>
    <w:rsid w:val="00DB6275"/>
    <w:rsid w:val="00DB65B7"/>
    <w:rsid w:val="00DC2DFC"/>
    <w:rsid w:val="00DC3005"/>
    <w:rsid w:val="00DD7CB4"/>
    <w:rsid w:val="00DE0229"/>
    <w:rsid w:val="00DE2732"/>
    <w:rsid w:val="00DE63F6"/>
    <w:rsid w:val="00DE6EA6"/>
    <w:rsid w:val="00DF1F75"/>
    <w:rsid w:val="00DF1FD3"/>
    <w:rsid w:val="00E0039F"/>
    <w:rsid w:val="00E05349"/>
    <w:rsid w:val="00E1783A"/>
    <w:rsid w:val="00E21894"/>
    <w:rsid w:val="00E22E87"/>
    <w:rsid w:val="00E2345E"/>
    <w:rsid w:val="00E24812"/>
    <w:rsid w:val="00E26C6B"/>
    <w:rsid w:val="00E301D4"/>
    <w:rsid w:val="00E338DD"/>
    <w:rsid w:val="00E36138"/>
    <w:rsid w:val="00E36F02"/>
    <w:rsid w:val="00E43263"/>
    <w:rsid w:val="00E4652E"/>
    <w:rsid w:val="00E46C7F"/>
    <w:rsid w:val="00E53EF2"/>
    <w:rsid w:val="00E631C8"/>
    <w:rsid w:val="00E63AEF"/>
    <w:rsid w:val="00E66BD5"/>
    <w:rsid w:val="00E7155B"/>
    <w:rsid w:val="00E72B54"/>
    <w:rsid w:val="00E7591E"/>
    <w:rsid w:val="00E8083B"/>
    <w:rsid w:val="00E86676"/>
    <w:rsid w:val="00E90AFE"/>
    <w:rsid w:val="00E96F35"/>
    <w:rsid w:val="00EA0A77"/>
    <w:rsid w:val="00EA3489"/>
    <w:rsid w:val="00EB0130"/>
    <w:rsid w:val="00EB0E6B"/>
    <w:rsid w:val="00EB4815"/>
    <w:rsid w:val="00EB5124"/>
    <w:rsid w:val="00EB670D"/>
    <w:rsid w:val="00EC0E5A"/>
    <w:rsid w:val="00EC5282"/>
    <w:rsid w:val="00ED04EF"/>
    <w:rsid w:val="00ED49C9"/>
    <w:rsid w:val="00ED55D6"/>
    <w:rsid w:val="00ED5A70"/>
    <w:rsid w:val="00ED5C5B"/>
    <w:rsid w:val="00EE0580"/>
    <w:rsid w:val="00EE081F"/>
    <w:rsid w:val="00EE2964"/>
    <w:rsid w:val="00EE3510"/>
    <w:rsid w:val="00EE5709"/>
    <w:rsid w:val="00EE6AC2"/>
    <w:rsid w:val="00EF2E45"/>
    <w:rsid w:val="00EF5A38"/>
    <w:rsid w:val="00EF79FC"/>
    <w:rsid w:val="00F0035A"/>
    <w:rsid w:val="00F00BE8"/>
    <w:rsid w:val="00F011FB"/>
    <w:rsid w:val="00F11A7B"/>
    <w:rsid w:val="00F12750"/>
    <w:rsid w:val="00F144BE"/>
    <w:rsid w:val="00F15F81"/>
    <w:rsid w:val="00F17D29"/>
    <w:rsid w:val="00F2333F"/>
    <w:rsid w:val="00F24D55"/>
    <w:rsid w:val="00F31AF8"/>
    <w:rsid w:val="00F40A9B"/>
    <w:rsid w:val="00F416A8"/>
    <w:rsid w:val="00F42171"/>
    <w:rsid w:val="00F43743"/>
    <w:rsid w:val="00F51034"/>
    <w:rsid w:val="00F54BA8"/>
    <w:rsid w:val="00F57903"/>
    <w:rsid w:val="00F6116E"/>
    <w:rsid w:val="00F64379"/>
    <w:rsid w:val="00F72972"/>
    <w:rsid w:val="00F766B6"/>
    <w:rsid w:val="00F77348"/>
    <w:rsid w:val="00F80B3E"/>
    <w:rsid w:val="00F8229D"/>
    <w:rsid w:val="00F852BE"/>
    <w:rsid w:val="00F864DC"/>
    <w:rsid w:val="00F92C3B"/>
    <w:rsid w:val="00F939DC"/>
    <w:rsid w:val="00FA10FA"/>
    <w:rsid w:val="00FA1810"/>
    <w:rsid w:val="00FA243C"/>
    <w:rsid w:val="00FA6594"/>
    <w:rsid w:val="00FB3698"/>
    <w:rsid w:val="00FB3821"/>
    <w:rsid w:val="00FB6113"/>
    <w:rsid w:val="00FC6A61"/>
    <w:rsid w:val="00FD4070"/>
    <w:rsid w:val="00FD60AA"/>
    <w:rsid w:val="00FE009E"/>
    <w:rsid w:val="00FE1ADD"/>
    <w:rsid w:val="00FE5E5B"/>
    <w:rsid w:val="00FE7913"/>
    <w:rsid w:val="00FE7B85"/>
    <w:rsid w:val="00FF7141"/>
    <w:rsid w:val="00FF752F"/>
    <w:rsid w:val="1BDDA7EC"/>
    <w:rsid w:val="266AFDF5"/>
    <w:rsid w:val="2DEC951D"/>
    <w:rsid w:val="41C66A00"/>
    <w:rsid w:val="48BE05E6"/>
    <w:rsid w:val="54B271FF"/>
    <w:rsid w:val="62F7F194"/>
    <w:rsid w:val="7742A09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9FA2"/>
  <w15:docId w15:val="{C3FA37EE-90D0-4A9B-BE2B-BBB9B0C5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AB17F4"/>
    <w:pPr>
      <w:spacing w:after="0" w:line="240" w:lineRule="auto"/>
    </w:pPr>
  </w:style>
  <w:style w:type="paragraph" w:styleId="Overskrift1">
    <w:name w:val="heading 1"/>
    <w:basedOn w:val="Normal"/>
    <w:next w:val="Brdtekst"/>
    <w:link w:val="Overskrift1Tegn"/>
    <w:qFormat/>
    <w:rsid w:val="00485FDC"/>
    <w:pPr>
      <w:keepNext/>
      <w:keepLines/>
      <w:spacing w:before="480"/>
      <w:ind w:left="425" w:hanging="425"/>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nhideWhenUsed/>
    <w:qFormat/>
    <w:rsid w:val="00485FDC"/>
    <w:pPr>
      <w:keepNext/>
      <w:keepLines/>
      <w:spacing w:before="200"/>
      <w:ind w:left="567" w:hanging="567"/>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nhideWhenUsed/>
    <w:qFormat/>
    <w:rsid w:val="00485FDC"/>
    <w:pPr>
      <w:keepNext/>
      <w:keepLines/>
      <w:spacing w:before="200"/>
      <w:ind w:left="567" w:hanging="567"/>
      <w:outlineLvl w:val="2"/>
    </w:pPr>
    <w:rPr>
      <w:rFonts w:asciiTheme="majorHAnsi" w:eastAsiaTheme="majorEastAsia" w:hAnsiTheme="majorHAnsi" w:cstheme="majorBidi"/>
      <w:b/>
      <w:bCs/>
    </w:rPr>
  </w:style>
  <w:style w:type="paragraph" w:styleId="Overskrift4">
    <w:name w:val="heading 4"/>
    <w:basedOn w:val="Normal"/>
    <w:next w:val="Brdtekst"/>
    <w:link w:val="Overskrift4Tegn"/>
    <w:unhideWhenUsed/>
    <w:qFormat/>
    <w:rsid w:val="00485FDC"/>
    <w:pPr>
      <w:keepNext/>
      <w:keepLines/>
      <w:spacing w:before="200"/>
      <w:ind w:left="567" w:hanging="567"/>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nhideWhenUsed/>
    <w:qFormat/>
    <w:rsid w:val="00485FDC"/>
    <w:pPr>
      <w:keepNext/>
      <w:keepLines/>
      <w:spacing w:before="200"/>
      <w:ind w:left="567" w:hanging="567"/>
      <w:outlineLvl w:val="4"/>
    </w:pPr>
    <w:rPr>
      <w:rFonts w:asciiTheme="majorHAnsi" w:eastAsiaTheme="majorEastAsia" w:hAnsiTheme="majorHAnsi" w:cstheme="majorBidi"/>
    </w:rPr>
  </w:style>
  <w:style w:type="paragraph" w:styleId="Overskrift6">
    <w:name w:val="heading 6"/>
    <w:basedOn w:val="Normal"/>
    <w:next w:val="Brdtekst"/>
    <w:link w:val="Overskrift6Tegn"/>
    <w:unhideWhenUsed/>
    <w:qFormat/>
    <w:rsid w:val="00485FDC"/>
    <w:pPr>
      <w:keepNext/>
      <w:keepLines/>
      <w:spacing w:before="200"/>
      <w:ind w:left="567" w:hanging="567"/>
      <w:outlineLvl w:val="5"/>
    </w:pPr>
    <w:rPr>
      <w:rFonts w:asciiTheme="majorHAnsi" w:eastAsiaTheme="majorEastAsia" w:hAnsiTheme="majorHAnsi" w:cstheme="majorBidi"/>
      <w:i/>
      <w:iCs/>
    </w:rPr>
  </w:style>
  <w:style w:type="paragraph" w:styleId="Overskrift7">
    <w:name w:val="heading 7"/>
    <w:basedOn w:val="Normal"/>
    <w:next w:val="Brdtekst"/>
    <w:link w:val="Overskrift7Tegn"/>
    <w:unhideWhenUsed/>
    <w:qFormat/>
    <w:rsid w:val="00485FDC"/>
    <w:pPr>
      <w:keepNext/>
      <w:keepLines/>
      <w:spacing w:before="200"/>
      <w:ind w:left="567" w:hanging="567"/>
      <w:outlineLvl w:val="6"/>
    </w:pPr>
    <w:rPr>
      <w:rFonts w:asciiTheme="majorHAnsi" w:eastAsiaTheme="majorEastAsia" w:hAnsiTheme="majorHAnsi" w:cstheme="majorBidi"/>
      <w:i/>
      <w:iCs/>
    </w:rPr>
  </w:style>
  <w:style w:type="paragraph" w:styleId="Overskrift8">
    <w:name w:val="heading 8"/>
    <w:basedOn w:val="Normal"/>
    <w:next w:val="Brdtekst"/>
    <w:link w:val="Overskrift8Tegn"/>
    <w:unhideWhenUsed/>
    <w:qFormat/>
    <w:rsid w:val="00485FDC"/>
    <w:pPr>
      <w:keepNext/>
      <w:keepLines/>
      <w:spacing w:before="200"/>
      <w:ind w:left="567" w:hanging="567"/>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nhideWhenUsed/>
    <w:qFormat/>
    <w:rsid w:val="00485FDC"/>
    <w:pPr>
      <w:keepNext/>
      <w:keepLines/>
      <w:spacing w:before="200"/>
      <w:ind w:left="567" w:hanging="567"/>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nhideWhenUsed/>
    <w:qFormat/>
    <w:rsid w:val="0011349C"/>
  </w:style>
  <w:style w:type="character" w:customStyle="1" w:styleId="BrdtekstTegn">
    <w:name w:val="Brødtekst Tegn"/>
    <w:basedOn w:val="Standardskriftforavsnitt"/>
    <w:link w:val="Brdtekst"/>
    <w:rsid w:val="00480CF8"/>
  </w:style>
  <w:style w:type="paragraph" w:styleId="Tittel">
    <w:name w:val="Title"/>
    <w:basedOn w:val="Normal"/>
    <w:next w:val="Brdtekst"/>
    <w:link w:val="TittelTegn"/>
    <w:qFormat/>
    <w:rsid w:val="001C708C"/>
    <w:pPr>
      <w:pBdr>
        <w:bottom w:val="single" w:sz="12" w:space="4" w:color="auto"/>
      </w:pBdr>
      <w:spacing w:after="300"/>
      <w:contextualSpacing/>
    </w:pPr>
    <w:rPr>
      <w:rFonts w:asciiTheme="majorHAnsi" w:eastAsiaTheme="majorEastAsia" w:hAnsiTheme="majorHAnsi" w:cstheme="majorBidi"/>
      <w:b/>
      <w:spacing w:val="5"/>
      <w:kern w:val="28"/>
      <w:sz w:val="44"/>
      <w:szCs w:val="52"/>
    </w:rPr>
  </w:style>
  <w:style w:type="character" w:customStyle="1" w:styleId="TittelTegn">
    <w:name w:val="Tittel Tegn"/>
    <w:basedOn w:val="Standardskriftforavsnitt"/>
    <w:link w:val="Tittel"/>
    <w:rsid w:val="001C708C"/>
    <w:rPr>
      <w:rFonts w:asciiTheme="majorHAnsi" w:eastAsiaTheme="majorEastAsia" w:hAnsiTheme="majorHAnsi" w:cstheme="majorBidi"/>
      <w:b/>
      <w:spacing w:val="5"/>
      <w:kern w:val="28"/>
      <w:sz w:val="44"/>
      <w:szCs w:val="52"/>
    </w:rPr>
  </w:style>
  <w:style w:type="table" w:styleId="Tabellrutenett">
    <w:name w:val="Table Grid"/>
    <w:basedOn w:val="Vanligtabell"/>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72770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rsid w:val="00727706"/>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rsid w:val="00727706"/>
    <w:rPr>
      <w:rFonts w:asciiTheme="majorHAnsi" w:eastAsiaTheme="majorEastAsia" w:hAnsiTheme="majorHAnsi" w:cstheme="majorBidi"/>
      <w:b/>
      <w:bCs/>
    </w:rPr>
  </w:style>
  <w:style w:type="character" w:customStyle="1" w:styleId="Overskrift4Tegn">
    <w:name w:val="Overskrift 4 Tegn"/>
    <w:basedOn w:val="Standardskriftforavsnitt"/>
    <w:link w:val="Overskrift4"/>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1"/>
      </w:numPr>
    </w:pPr>
  </w:style>
  <w:style w:type="paragraph" w:styleId="Overskriftforinnholdsfortegnelse">
    <w:name w:val="TOC Heading"/>
    <w:basedOn w:val="Overskrift1"/>
    <w:next w:val="Normal"/>
    <w:uiPriority w:val="39"/>
    <w:unhideWhenUsed/>
    <w:qFormat/>
    <w:rsid w:val="0011225B"/>
    <w:pPr>
      <w:spacing w:line="276" w:lineRule="auto"/>
      <w:ind w:left="0" w:firstLine="0"/>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nhideWhenUsed/>
    <w:rsid w:val="00695027"/>
    <w:pPr>
      <w:spacing w:after="100"/>
    </w:pPr>
  </w:style>
  <w:style w:type="paragraph" w:styleId="INNH5">
    <w:name w:val="toc 5"/>
    <w:basedOn w:val="Normal"/>
    <w:next w:val="Normal"/>
    <w:uiPriority w:val="39"/>
    <w:unhideWhenUsed/>
    <w:rsid w:val="00695027"/>
    <w:pPr>
      <w:spacing w:after="100"/>
    </w:pPr>
  </w:style>
  <w:style w:type="paragraph" w:styleId="INNH6">
    <w:name w:val="toc 6"/>
    <w:basedOn w:val="Normal"/>
    <w:next w:val="Normal"/>
    <w:uiPriority w:val="39"/>
    <w:unhideWhenUsed/>
    <w:rsid w:val="00695027"/>
    <w:pPr>
      <w:spacing w:after="100"/>
    </w:pPr>
  </w:style>
  <w:style w:type="paragraph" w:styleId="INNH7">
    <w:name w:val="toc 7"/>
    <w:basedOn w:val="Normal"/>
    <w:next w:val="Normal"/>
    <w:uiPriority w:val="39"/>
    <w:unhideWhenUsed/>
    <w:rsid w:val="00695027"/>
    <w:pPr>
      <w:spacing w:after="100"/>
    </w:pPr>
  </w:style>
  <w:style w:type="paragraph" w:styleId="INNH8">
    <w:name w:val="toc 8"/>
    <w:basedOn w:val="Normal"/>
    <w:next w:val="Normal"/>
    <w:uiPriority w:val="39"/>
    <w:unhideWhenUsed/>
    <w:rsid w:val="00695027"/>
    <w:pPr>
      <w:spacing w:after="100"/>
    </w:pPr>
  </w:style>
  <w:style w:type="paragraph" w:styleId="INNH9">
    <w:name w:val="toc 9"/>
    <w:basedOn w:val="Normal"/>
    <w:next w:val="Normal"/>
    <w:uiPriority w:val="39"/>
    <w:unhideWhenUsed/>
    <w:rsid w:val="00695027"/>
    <w:pPr>
      <w:spacing w:after="100"/>
    </w:pPr>
  </w:style>
  <w:style w:type="paragraph" w:styleId="Ingenmellomrom">
    <w:name w:val="No Spacing"/>
    <w:link w:val="IngenmellomromTegn"/>
    <w:uiPriority w:val="1"/>
    <w:qFormat/>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2"/>
      </w:numPr>
      <w:contextualSpacing/>
    </w:pPr>
  </w:style>
  <w:style w:type="paragraph" w:styleId="Nummerertliste">
    <w:name w:val="List Number"/>
    <w:basedOn w:val="Normal"/>
    <w:uiPriority w:val="13"/>
    <w:unhideWhenUsed/>
    <w:qFormat/>
    <w:rsid w:val="00BB1316"/>
    <w:pPr>
      <w:numPr>
        <w:numId w:val="3"/>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2"/>
      </w:numPr>
      <w:contextualSpacing/>
    </w:pPr>
  </w:style>
  <w:style w:type="paragraph" w:styleId="Nummerertliste2">
    <w:name w:val="List Number 2"/>
    <w:basedOn w:val="Normal"/>
    <w:uiPriority w:val="15"/>
    <w:unhideWhenUsed/>
    <w:qFormat/>
    <w:rsid w:val="00BB1316"/>
    <w:pPr>
      <w:numPr>
        <w:ilvl w:val="1"/>
        <w:numId w:val="3"/>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A9040E" w:themeColor="accent1" w:themeShade="BF"/>
    </w:rPr>
    <w:tblPr>
      <w:tblStyleRowBandSize w:val="1"/>
      <w:tblStyleColBandSize w:val="1"/>
      <w:tblBorders>
        <w:top w:val="single" w:sz="8" w:space="0" w:color="E30613" w:themeColor="accent1"/>
        <w:bottom w:val="single" w:sz="8" w:space="0" w:color="E30613" w:themeColor="accent1"/>
      </w:tblBorders>
    </w:tblPr>
    <w:tblStylePr w:type="fir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la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1" w:themeFillTint="3F"/>
      </w:tcPr>
    </w:tblStylePr>
    <w:tblStylePr w:type="band1Horz">
      <w:tblPr/>
      <w:tcPr>
        <w:tcBorders>
          <w:left w:val="nil"/>
          <w:right w:val="nil"/>
          <w:insideH w:val="nil"/>
          <w:insideV w:val="nil"/>
        </w:tcBorders>
        <w:shd w:val="clear" w:color="auto" w:fill="FDBCBF" w:themeFill="accent1" w:themeFillTint="3F"/>
      </w:tcPr>
    </w:tblStylePr>
  </w:style>
  <w:style w:type="numbering" w:customStyle="1" w:styleId="Punktliste1">
    <w:name w:val="Punktliste1"/>
    <w:uiPriority w:val="99"/>
    <w:rsid w:val="00A67730"/>
    <w:pPr>
      <w:numPr>
        <w:numId w:val="2"/>
      </w:numPr>
    </w:pPr>
  </w:style>
  <w:style w:type="numbering" w:customStyle="1" w:styleId="Nummerliste">
    <w:name w:val="Nummerliste"/>
    <w:uiPriority w:val="99"/>
    <w:rsid w:val="00BB1316"/>
    <w:pPr>
      <w:numPr>
        <w:numId w:val="3"/>
      </w:numPr>
    </w:pPr>
  </w:style>
  <w:style w:type="paragraph" w:styleId="Punktliste3">
    <w:name w:val="List Bullet 3"/>
    <w:basedOn w:val="Normal"/>
    <w:uiPriority w:val="17"/>
    <w:unhideWhenUsed/>
    <w:qFormat/>
    <w:rsid w:val="00A67730"/>
    <w:pPr>
      <w:numPr>
        <w:ilvl w:val="2"/>
        <w:numId w:val="2"/>
      </w:numPr>
      <w:contextualSpacing/>
    </w:pPr>
  </w:style>
  <w:style w:type="paragraph" w:styleId="Nummerertliste4">
    <w:name w:val="List Number 4"/>
    <w:basedOn w:val="Normal"/>
    <w:uiPriority w:val="99"/>
    <w:unhideWhenUsed/>
    <w:rsid w:val="00BB1316"/>
    <w:pPr>
      <w:numPr>
        <w:ilvl w:val="3"/>
        <w:numId w:val="3"/>
      </w:numPr>
      <w:contextualSpacing/>
    </w:pPr>
  </w:style>
  <w:style w:type="paragraph" w:styleId="Punktliste5">
    <w:name w:val="List Bullet 5"/>
    <w:basedOn w:val="Normal"/>
    <w:uiPriority w:val="99"/>
    <w:unhideWhenUsed/>
    <w:rsid w:val="00A67730"/>
    <w:pPr>
      <w:numPr>
        <w:ilvl w:val="4"/>
        <w:numId w:val="2"/>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3"/>
      </w:numPr>
      <w:contextualSpacing/>
    </w:pPr>
  </w:style>
  <w:style w:type="paragraph" w:styleId="Nummerertliste5">
    <w:name w:val="List Number 5"/>
    <w:basedOn w:val="Normal"/>
    <w:uiPriority w:val="99"/>
    <w:semiHidden/>
    <w:unhideWhenUsed/>
    <w:rsid w:val="00BB1316"/>
    <w:pPr>
      <w:numPr>
        <w:ilvl w:val="4"/>
        <w:numId w:val="3"/>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character" w:styleId="Merknadsreferanse">
    <w:name w:val="annotation reference"/>
    <w:basedOn w:val="Standardskriftforavsnitt"/>
    <w:uiPriority w:val="99"/>
    <w:semiHidden/>
    <w:unhideWhenUsed/>
    <w:rsid w:val="00875FAB"/>
    <w:rPr>
      <w:sz w:val="16"/>
      <w:szCs w:val="16"/>
    </w:rPr>
  </w:style>
  <w:style w:type="paragraph" w:styleId="Merknadstekst">
    <w:name w:val="annotation text"/>
    <w:basedOn w:val="Normal"/>
    <w:link w:val="MerknadstekstTegn"/>
    <w:uiPriority w:val="99"/>
    <w:unhideWhenUsed/>
    <w:rsid w:val="00875FAB"/>
    <w:rPr>
      <w:sz w:val="20"/>
      <w:szCs w:val="20"/>
    </w:rPr>
  </w:style>
  <w:style w:type="character" w:customStyle="1" w:styleId="MerknadstekstTegn">
    <w:name w:val="Merknadstekst Tegn"/>
    <w:basedOn w:val="Standardskriftforavsnitt"/>
    <w:link w:val="Merknadstekst"/>
    <w:uiPriority w:val="99"/>
    <w:rsid w:val="00875FAB"/>
    <w:rPr>
      <w:sz w:val="20"/>
      <w:szCs w:val="20"/>
    </w:rPr>
  </w:style>
  <w:style w:type="paragraph" w:styleId="Kommentaremne">
    <w:name w:val="annotation subject"/>
    <w:basedOn w:val="Merknadstekst"/>
    <w:next w:val="Merknadstekst"/>
    <w:link w:val="KommentaremneTegn"/>
    <w:semiHidden/>
    <w:unhideWhenUsed/>
    <w:rsid w:val="00875FAB"/>
    <w:rPr>
      <w:b/>
      <w:bCs/>
    </w:rPr>
  </w:style>
  <w:style w:type="character" w:customStyle="1" w:styleId="KommentaremneTegn">
    <w:name w:val="Kommentaremne Tegn"/>
    <w:basedOn w:val="MerknadstekstTegn"/>
    <w:link w:val="Kommentaremne"/>
    <w:semiHidden/>
    <w:rsid w:val="00875FAB"/>
    <w:rPr>
      <w:b/>
      <w:bCs/>
      <w:sz w:val="20"/>
      <w:szCs w:val="20"/>
    </w:rPr>
  </w:style>
  <w:style w:type="paragraph" w:styleId="Bobletekst">
    <w:name w:val="Balloon Text"/>
    <w:basedOn w:val="Normal"/>
    <w:link w:val="BobletekstTegn"/>
    <w:semiHidden/>
    <w:unhideWhenUsed/>
    <w:rsid w:val="00875FAB"/>
    <w:rPr>
      <w:rFonts w:ascii="Segoe UI" w:hAnsi="Segoe UI" w:cs="Segoe UI"/>
      <w:sz w:val="18"/>
      <w:szCs w:val="18"/>
    </w:rPr>
  </w:style>
  <w:style w:type="character" w:customStyle="1" w:styleId="BobletekstTegn">
    <w:name w:val="Bobletekst Tegn"/>
    <w:basedOn w:val="Standardskriftforavsnitt"/>
    <w:link w:val="Bobletekst"/>
    <w:semiHidden/>
    <w:rsid w:val="00875FAB"/>
    <w:rPr>
      <w:rFonts w:ascii="Segoe UI" w:hAnsi="Segoe UI" w:cs="Segoe UI"/>
      <w:sz w:val="18"/>
      <w:szCs w:val="18"/>
    </w:rPr>
  </w:style>
  <w:style w:type="paragraph" w:styleId="Listeavsnitt">
    <w:name w:val="List Paragraph"/>
    <w:basedOn w:val="Normal"/>
    <w:uiPriority w:val="34"/>
    <w:qFormat/>
    <w:rsid w:val="00DB6275"/>
    <w:pPr>
      <w:ind w:left="720"/>
      <w:contextualSpacing/>
    </w:pPr>
    <w:rPr>
      <w:rFonts w:ascii="Times New Roman" w:eastAsia="Times New Roman" w:hAnsi="Times New Roman" w:cs="Times New Roman"/>
      <w:szCs w:val="20"/>
    </w:rPr>
  </w:style>
  <w:style w:type="character" w:customStyle="1" w:styleId="Ulstomtale1">
    <w:name w:val="Uløst omtale1"/>
    <w:basedOn w:val="Standardskriftforavsnitt"/>
    <w:uiPriority w:val="99"/>
    <w:semiHidden/>
    <w:unhideWhenUsed/>
    <w:rsid w:val="00DB6275"/>
    <w:rPr>
      <w:color w:val="808080"/>
      <w:shd w:val="clear" w:color="auto" w:fill="E6E6E6"/>
    </w:rPr>
  </w:style>
  <w:style w:type="paragraph" w:customStyle="1" w:styleId="Default">
    <w:name w:val="Default"/>
    <w:rsid w:val="00DB6275"/>
    <w:pPr>
      <w:autoSpaceDE w:val="0"/>
      <w:autoSpaceDN w:val="0"/>
      <w:adjustRightInd w:val="0"/>
      <w:spacing w:after="0" w:line="240" w:lineRule="auto"/>
    </w:pPr>
    <w:rPr>
      <w:rFonts w:ascii="Times New Roman" w:hAnsi="Times New Roman" w:cs="Times New Roman"/>
      <w:color w:val="000000"/>
      <w:sz w:val="24"/>
      <w:szCs w:val="24"/>
    </w:rPr>
  </w:style>
  <w:style w:type="table" w:styleId="Rutenettabelllys">
    <w:name w:val="Grid Table Light"/>
    <w:basedOn w:val="Vanligtabell"/>
    <w:uiPriority w:val="40"/>
    <w:rsid w:val="00DB62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2">
    <w:name w:val="Uløst omtale2"/>
    <w:basedOn w:val="Standardskriftforavsnitt"/>
    <w:uiPriority w:val="99"/>
    <w:semiHidden/>
    <w:unhideWhenUsed/>
    <w:rsid w:val="00DB6275"/>
    <w:rPr>
      <w:color w:val="808080"/>
      <w:shd w:val="clear" w:color="auto" w:fill="E6E6E6"/>
    </w:rPr>
  </w:style>
  <w:style w:type="character" w:customStyle="1" w:styleId="Ulstomtale3">
    <w:name w:val="Uløst omtale3"/>
    <w:basedOn w:val="Standardskriftforavsnitt"/>
    <w:uiPriority w:val="99"/>
    <w:semiHidden/>
    <w:unhideWhenUsed/>
    <w:rsid w:val="00DB6275"/>
    <w:rPr>
      <w:color w:val="808080"/>
      <w:shd w:val="clear" w:color="auto" w:fill="E6E6E6"/>
    </w:rPr>
  </w:style>
  <w:style w:type="table" w:styleId="Rutenettabell6fargerikuthevingsfarge3">
    <w:name w:val="Grid Table 6 Colorful Accent 3"/>
    <w:basedOn w:val="Vanligtabell"/>
    <w:uiPriority w:val="51"/>
    <w:rsid w:val="00DB6275"/>
    <w:pPr>
      <w:spacing w:after="0" w:line="240" w:lineRule="auto"/>
    </w:pPr>
    <w:rPr>
      <w:color w:val="00702F" w:themeColor="accent3" w:themeShade="BF"/>
    </w:rPr>
    <w:tblPr>
      <w:tblStyleRowBandSize w:val="1"/>
      <w:tblStyleColBandSize w:val="1"/>
      <w:tblBorders>
        <w:top w:val="single" w:sz="4" w:space="0" w:color="27FF82" w:themeColor="accent3" w:themeTint="99"/>
        <w:left w:val="single" w:sz="4" w:space="0" w:color="27FF82" w:themeColor="accent3" w:themeTint="99"/>
        <w:bottom w:val="single" w:sz="4" w:space="0" w:color="27FF82" w:themeColor="accent3" w:themeTint="99"/>
        <w:right w:val="single" w:sz="4" w:space="0" w:color="27FF82" w:themeColor="accent3" w:themeTint="99"/>
        <w:insideH w:val="single" w:sz="4" w:space="0" w:color="27FF82" w:themeColor="accent3" w:themeTint="99"/>
        <w:insideV w:val="single" w:sz="4" w:space="0" w:color="27FF82" w:themeColor="accent3" w:themeTint="99"/>
      </w:tblBorders>
    </w:tblPr>
    <w:tblStylePr w:type="firstRow">
      <w:rPr>
        <w:b/>
        <w:bCs/>
      </w:rPr>
      <w:tblPr/>
      <w:tcPr>
        <w:tcBorders>
          <w:bottom w:val="single" w:sz="12" w:space="0" w:color="27FF82" w:themeColor="accent3" w:themeTint="99"/>
        </w:tcBorders>
      </w:tcPr>
    </w:tblStylePr>
    <w:tblStylePr w:type="lastRow">
      <w:rPr>
        <w:b/>
        <w:bCs/>
      </w:rPr>
      <w:tblPr/>
      <w:tcPr>
        <w:tcBorders>
          <w:top w:val="double" w:sz="4" w:space="0" w:color="27FF82" w:themeColor="accent3" w:themeTint="99"/>
        </w:tcBorders>
      </w:tcPr>
    </w:tblStylePr>
    <w:tblStylePr w:type="firstCol">
      <w:rPr>
        <w:b/>
        <w:bCs/>
      </w:rPr>
    </w:tblStylePr>
    <w:tblStylePr w:type="lastCol">
      <w:rPr>
        <w:b/>
        <w:bCs/>
      </w:rPr>
    </w:tblStylePr>
    <w:tblStylePr w:type="band1Vert">
      <w:tblPr/>
      <w:tcPr>
        <w:shd w:val="clear" w:color="auto" w:fill="B7FFD5" w:themeFill="accent3" w:themeFillTint="33"/>
      </w:tcPr>
    </w:tblStylePr>
    <w:tblStylePr w:type="band1Horz">
      <w:tblPr/>
      <w:tcPr>
        <w:shd w:val="clear" w:color="auto" w:fill="B7FFD5" w:themeFill="accent3" w:themeFillTint="33"/>
      </w:tcPr>
    </w:tblStylePr>
  </w:style>
  <w:style w:type="table" w:styleId="Rutenettabell4uthevingsfarge1">
    <w:name w:val="Grid Table 4 Accent 1"/>
    <w:basedOn w:val="Vanligtabell"/>
    <w:uiPriority w:val="49"/>
    <w:rsid w:val="00DB6275"/>
    <w:pPr>
      <w:spacing w:after="0" w:line="240" w:lineRule="auto"/>
    </w:pPr>
    <w:tblPr>
      <w:tblStyleRowBandSize w:val="1"/>
      <w:tblStyleColBandSize w:val="1"/>
      <w:tblBorders>
        <w:top w:val="single" w:sz="4" w:space="0" w:color="FA5C66" w:themeColor="accent1" w:themeTint="99"/>
        <w:left w:val="single" w:sz="4" w:space="0" w:color="FA5C66" w:themeColor="accent1" w:themeTint="99"/>
        <w:bottom w:val="single" w:sz="4" w:space="0" w:color="FA5C66" w:themeColor="accent1" w:themeTint="99"/>
        <w:right w:val="single" w:sz="4" w:space="0" w:color="FA5C66" w:themeColor="accent1" w:themeTint="99"/>
        <w:insideH w:val="single" w:sz="4" w:space="0" w:color="FA5C66" w:themeColor="accent1" w:themeTint="99"/>
        <w:insideV w:val="single" w:sz="4" w:space="0" w:color="FA5C66" w:themeColor="accent1" w:themeTint="99"/>
      </w:tblBorders>
    </w:tblPr>
    <w:tblStylePr w:type="firstRow">
      <w:rPr>
        <w:b/>
        <w:bCs/>
        <w:color w:val="FFFFFF" w:themeColor="background1"/>
      </w:rPr>
      <w:tblPr/>
      <w:tcPr>
        <w:tcBorders>
          <w:top w:val="single" w:sz="4" w:space="0" w:color="E30613" w:themeColor="accent1"/>
          <w:left w:val="single" w:sz="4" w:space="0" w:color="E30613" w:themeColor="accent1"/>
          <w:bottom w:val="single" w:sz="4" w:space="0" w:color="E30613" w:themeColor="accent1"/>
          <w:right w:val="single" w:sz="4" w:space="0" w:color="E30613" w:themeColor="accent1"/>
          <w:insideH w:val="nil"/>
          <w:insideV w:val="nil"/>
        </w:tcBorders>
        <w:shd w:val="clear" w:color="auto" w:fill="E30613" w:themeFill="accent1"/>
      </w:tcPr>
    </w:tblStylePr>
    <w:tblStylePr w:type="lastRow">
      <w:rPr>
        <w:b/>
        <w:bCs/>
      </w:rPr>
      <w:tblPr/>
      <w:tcPr>
        <w:tcBorders>
          <w:top w:val="double" w:sz="4" w:space="0" w:color="E30613" w:themeColor="accent1"/>
        </w:tcBorders>
      </w:tcPr>
    </w:tblStylePr>
    <w:tblStylePr w:type="firstCol">
      <w:rPr>
        <w:b/>
        <w:bCs/>
      </w:rPr>
    </w:tblStylePr>
    <w:tblStylePr w:type="lastCol">
      <w:rPr>
        <w:b/>
        <w:bCs/>
      </w:rPr>
    </w:tblStylePr>
    <w:tblStylePr w:type="band1Vert">
      <w:tblPr/>
      <w:tcPr>
        <w:shd w:val="clear" w:color="auto" w:fill="FDC8CB" w:themeFill="accent1" w:themeFillTint="33"/>
      </w:tcPr>
    </w:tblStylePr>
    <w:tblStylePr w:type="band1Horz">
      <w:tblPr/>
      <w:tcPr>
        <w:shd w:val="clear" w:color="auto" w:fill="FDC8CB" w:themeFill="accent1" w:themeFillTint="33"/>
      </w:tcPr>
    </w:tblStylePr>
  </w:style>
  <w:style w:type="character" w:styleId="Utheving">
    <w:name w:val="Emphasis"/>
    <w:basedOn w:val="Standardskriftforavsnitt"/>
    <w:uiPriority w:val="20"/>
    <w:qFormat/>
    <w:rsid w:val="00DB6275"/>
    <w:rPr>
      <w:i/>
      <w:iCs/>
    </w:rPr>
  </w:style>
  <w:style w:type="table" w:styleId="Listetabell7fargerikuthevingsfarge3">
    <w:name w:val="List Table 7 Colorful Accent 3"/>
    <w:basedOn w:val="Vanligtabell"/>
    <w:uiPriority w:val="52"/>
    <w:rsid w:val="00DB6275"/>
    <w:pPr>
      <w:spacing w:after="0" w:line="240" w:lineRule="auto"/>
    </w:pPr>
    <w:rPr>
      <w:color w:val="0070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40" w:themeColor="accent3"/>
        </w:tcBorders>
        <w:shd w:val="clear" w:color="auto" w:fill="FFFFFF" w:themeFill="background1"/>
      </w:tcPr>
    </w:tblStylePr>
    <w:tblStylePr w:type="band1Vert">
      <w:tblPr/>
      <w:tcPr>
        <w:shd w:val="clear" w:color="auto" w:fill="B7FFD5" w:themeFill="accent3" w:themeFillTint="33"/>
      </w:tcPr>
    </w:tblStylePr>
    <w:tblStylePr w:type="band1Horz">
      <w:tblPr/>
      <w:tcPr>
        <w:shd w:val="clear" w:color="auto" w:fill="B7FF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5mrkuthevingsfarge3">
    <w:name w:val="Grid Table 5 Dark Accent 3"/>
    <w:basedOn w:val="Vanligtabell"/>
    <w:uiPriority w:val="50"/>
    <w:rsid w:val="00DB6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40" w:themeFill="accent3"/>
      </w:tcPr>
    </w:tblStylePr>
    <w:tblStylePr w:type="band1Vert">
      <w:tblPr/>
      <w:tcPr>
        <w:shd w:val="clear" w:color="auto" w:fill="6FFFAB" w:themeFill="accent3" w:themeFillTint="66"/>
      </w:tcPr>
    </w:tblStylePr>
    <w:tblStylePr w:type="band1Horz">
      <w:tblPr/>
      <w:tcPr>
        <w:shd w:val="clear" w:color="auto" w:fill="6FFFAB" w:themeFill="accent3" w:themeFillTint="66"/>
      </w:tcPr>
    </w:tblStylePr>
  </w:style>
  <w:style w:type="table" w:styleId="Rutenettabell4uthevingsfarge5">
    <w:name w:val="Grid Table 4 Accent 5"/>
    <w:basedOn w:val="Vanligtabell"/>
    <w:uiPriority w:val="49"/>
    <w:rsid w:val="00DB6275"/>
    <w:pPr>
      <w:spacing w:after="0" w:line="240" w:lineRule="auto"/>
    </w:pPr>
    <w:tblPr>
      <w:tblStyleRowBandSize w:val="1"/>
      <w:tblStyleColBandSize w:val="1"/>
      <w:tblBorders>
        <w:top w:val="single" w:sz="4" w:space="0" w:color="4EC4FF" w:themeColor="accent5" w:themeTint="99"/>
        <w:left w:val="single" w:sz="4" w:space="0" w:color="4EC4FF" w:themeColor="accent5" w:themeTint="99"/>
        <w:bottom w:val="single" w:sz="4" w:space="0" w:color="4EC4FF" w:themeColor="accent5" w:themeTint="99"/>
        <w:right w:val="single" w:sz="4" w:space="0" w:color="4EC4FF" w:themeColor="accent5" w:themeTint="99"/>
        <w:insideH w:val="single" w:sz="4" w:space="0" w:color="4EC4FF" w:themeColor="accent5" w:themeTint="99"/>
        <w:insideV w:val="single" w:sz="4" w:space="0" w:color="4EC4FF" w:themeColor="accent5" w:themeTint="99"/>
      </w:tblBorders>
    </w:tblPr>
    <w:tblStylePr w:type="firstRow">
      <w:rPr>
        <w:b/>
        <w:bCs/>
        <w:color w:val="FFFFFF" w:themeColor="background1"/>
      </w:rPr>
      <w:tblPr/>
      <w:tcPr>
        <w:tcBorders>
          <w:top w:val="single" w:sz="4" w:space="0" w:color="0090D7" w:themeColor="accent5"/>
          <w:left w:val="single" w:sz="4" w:space="0" w:color="0090D7" w:themeColor="accent5"/>
          <w:bottom w:val="single" w:sz="4" w:space="0" w:color="0090D7" w:themeColor="accent5"/>
          <w:right w:val="single" w:sz="4" w:space="0" w:color="0090D7" w:themeColor="accent5"/>
          <w:insideH w:val="nil"/>
          <w:insideV w:val="nil"/>
        </w:tcBorders>
        <w:shd w:val="clear" w:color="auto" w:fill="0090D7" w:themeFill="accent5"/>
      </w:tcPr>
    </w:tblStylePr>
    <w:tblStylePr w:type="lastRow">
      <w:rPr>
        <w:b/>
        <w:bCs/>
      </w:rPr>
      <w:tblPr/>
      <w:tcPr>
        <w:tcBorders>
          <w:top w:val="double" w:sz="4" w:space="0" w:color="0090D7" w:themeColor="accent5"/>
        </w:tcBorders>
      </w:tcPr>
    </w:tblStylePr>
    <w:tblStylePr w:type="firstCol">
      <w:rPr>
        <w:b/>
        <w:bCs/>
      </w:rPr>
    </w:tblStylePr>
    <w:tblStylePr w:type="lastCol">
      <w:rPr>
        <w:b/>
        <w:bCs/>
      </w:rPr>
    </w:tblStylePr>
    <w:tblStylePr w:type="band1Vert">
      <w:tblPr/>
      <w:tcPr>
        <w:shd w:val="clear" w:color="auto" w:fill="C4EBFF" w:themeFill="accent5" w:themeFillTint="33"/>
      </w:tcPr>
    </w:tblStylePr>
    <w:tblStylePr w:type="band1Horz">
      <w:tblPr/>
      <w:tcPr>
        <w:shd w:val="clear" w:color="auto" w:fill="C4EBFF" w:themeFill="accent5" w:themeFillTint="33"/>
      </w:tcPr>
    </w:tblStylePr>
  </w:style>
  <w:style w:type="character" w:customStyle="1" w:styleId="Omtale1">
    <w:name w:val="Omtale1"/>
    <w:basedOn w:val="Standardskriftforavsnitt"/>
    <w:uiPriority w:val="99"/>
    <w:semiHidden/>
    <w:unhideWhenUsed/>
    <w:rsid w:val="00DB6275"/>
    <w:rPr>
      <w:color w:val="2B579A"/>
      <w:shd w:val="clear" w:color="auto" w:fill="E6E6E6"/>
    </w:rPr>
  </w:style>
  <w:style w:type="numbering" w:customStyle="1" w:styleId="Nummerliste1">
    <w:name w:val="Nummerliste1"/>
    <w:uiPriority w:val="99"/>
    <w:rsid w:val="00DB6275"/>
  </w:style>
  <w:style w:type="paragraph" w:styleId="Figurliste">
    <w:name w:val="table of figures"/>
    <w:basedOn w:val="Normal"/>
    <w:next w:val="Normal"/>
    <w:uiPriority w:val="99"/>
    <w:unhideWhenUsed/>
    <w:rsid w:val="00DB6275"/>
  </w:style>
  <w:style w:type="character" w:customStyle="1" w:styleId="Ulstomtale4">
    <w:name w:val="Uløst omtale4"/>
    <w:basedOn w:val="Standardskriftforavsnitt"/>
    <w:uiPriority w:val="99"/>
    <w:semiHidden/>
    <w:unhideWhenUsed/>
    <w:rsid w:val="00DB6275"/>
    <w:rPr>
      <w:color w:val="808080"/>
      <w:shd w:val="clear" w:color="auto" w:fill="E6E6E6"/>
    </w:rPr>
  </w:style>
  <w:style w:type="paragraph" w:styleId="Revisjon">
    <w:name w:val="Revision"/>
    <w:hidden/>
    <w:uiPriority w:val="99"/>
    <w:semiHidden/>
    <w:rsid w:val="00DB6275"/>
    <w:pPr>
      <w:spacing w:after="0" w:line="240" w:lineRule="auto"/>
    </w:pPr>
  </w:style>
  <w:style w:type="character" w:customStyle="1" w:styleId="Ulstomtale5">
    <w:name w:val="Uløst omtale5"/>
    <w:basedOn w:val="Standardskriftforavsnitt"/>
    <w:uiPriority w:val="99"/>
    <w:semiHidden/>
    <w:unhideWhenUsed/>
    <w:rsid w:val="00DB6275"/>
    <w:rPr>
      <w:color w:val="808080"/>
      <w:shd w:val="clear" w:color="auto" w:fill="E6E6E6"/>
    </w:rPr>
  </w:style>
  <w:style w:type="paragraph" w:styleId="Vanliginnrykk">
    <w:name w:val="Normal Indent"/>
    <w:basedOn w:val="Normal"/>
    <w:rsid w:val="00DB6275"/>
    <w:pPr>
      <w:ind w:left="708"/>
    </w:pPr>
    <w:rPr>
      <w:rFonts w:ascii="Calibri" w:eastAsia="Times New Roman" w:hAnsi="Calibri" w:cs="Times New Roman"/>
      <w:sz w:val="24"/>
      <w:szCs w:val="20"/>
    </w:rPr>
  </w:style>
  <w:style w:type="paragraph" w:customStyle="1" w:styleId="Reflinje">
    <w:name w:val="Ref.linje"/>
    <w:basedOn w:val="Normal"/>
    <w:rsid w:val="00DB6275"/>
    <w:pPr>
      <w:tabs>
        <w:tab w:val="left" w:pos="3175"/>
        <w:tab w:val="left" w:pos="6606"/>
      </w:tabs>
    </w:pPr>
    <w:rPr>
      <w:rFonts w:ascii="Calibri" w:eastAsia="Times New Roman" w:hAnsi="Calibri" w:cs="Times New Roman"/>
      <w:sz w:val="24"/>
      <w:szCs w:val="20"/>
    </w:rPr>
  </w:style>
  <w:style w:type="paragraph" w:customStyle="1" w:styleId="Vedlegg">
    <w:name w:val="Vedlegg"/>
    <w:basedOn w:val="Normal"/>
    <w:next w:val="Brdtekst"/>
    <w:rsid w:val="00DB6275"/>
    <w:pPr>
      <w:ind w:hanging="340"/>
    </w:pPr>
    <w:rPr>
      <w:rFonts w:ascii="Calibri" w:eastAsia="Times New Roman" w:hAnsi="Calibri" w:cs="Times New Roman"/>
      <w:sz w:val="24"/>
      <w:szCs w:val="20"/>
    </w:rPr>
  </w:style>
  <w:style w:type="paragraph" w:styleId="Makrotekst">
    <w:name w:val="macro"/>
    <w:link w:val="MakrotekstTegn"/>
    <w:semiHidden/>
    <w:rsid w:val="00DB6275"/>
    <w:pPr>
      <w:tabs>
        <w:tab w:val="left" w:pos="284"/>
        <w:tab w:val="left" w:pos="567"/>
        <w:tab w:val="left" w:pos="851"/>
        <w:tab w:val="left" w:pos="1134"/>
        <w:tab w:val="left" w:pos="1418"/>
        <w:tab w:val="left" w:pos="1701"/>
        <w:tab w:val="left" w:pos="1985"/>
        <w:tab w:val="left" w:pos="2268"/>
      </w:tabs>
      <w:spacing w:after="0" w:line="240" w:lineRule="auto"/>
      <w:ind w:right="-2835"/>
    </w:pPr>
    <w:rPr>
      <w:rFonts w:ascii="Arial" w:eastAsia="Times New Roman" w:hAnsi="Arial" w:cs="Times New Roman"/>
      <w:sz w:val="16"/>
      <w:szCs w:val="20"/>
    </w:rPr>
  </w:style>
  <w:style w:type="character" w:customStyle="1" w:styleId="MakrotekstTegn">
    <w:name w:val="Makrotekst Tegn"/>
    <w:basedOn w:val="Standardskriftforavsnitt"/>
    <w:link w:val="Makrotekst"/>
    <w:semiHidden/>
    <w:rsid w:val="00DB6275"/>
    <w:rPr>
      <w:rFonts w:ascii="Arial" w:eastAsia="Times New Roman" w:hAnsi="Arial" w:cs="Times New Roman"/>
      <w:sz w:val="16"/>
      <w:szCs w:val="20"/>
    </w:rPr>
  </w:style>
  <w:style w:type="paragraph" w:customStyle="1" w:styleId="Ledetekst">
    <w:name w:val="Ledetekst"/>
    <w:basedOn w:val="Normal"/>
    <w:rsid w:val="00DB6275"/>
    <w:rPr>
      <w:rFonts w:ascii="Arial" w:eastAsia="Times New Roman" w:hAnsi="Arial" w:cs="Times New Roman"/>
      <w:noProof/>
      <w:sz w:val="14"/>
      <w:szCs w:val="20"/>
    </w:rPr>
  </w:style>
  <w:style w:type="character" w:styleId="Fulgthyperkobling">
    <w:name w:val="FollowedHyperlink"/>
    <w:basedOn w:val="Standardskriftforavsnitt"/>
    <w:rsid w:val="00DB6275"/>
    <w:rPr>
      <w:color w:val="DE007E" w:themeColor="followedHyperlink"/>
      <w:u w:val="single"/>
    </w:rPr>
  </w:style>
  <w:style w:type="character" w:customStyle="1" w:styleId="Omtale10">
    <w:name w:val="Omtale10"/>
    <w:basedOn w:val="Standardskriftforavsnitt"/>
    <w:uiPriority w:val="99"/>
    <w:semiHidden/>
    <w:unhideWhenUsed/>
    <w:rsid w:val="00DB6275"/>
    <w:rPr>
      <w:color w:val="2B579A"/>
      <w:shd w:val="clear" w:color="auto" w:fill="E6E6E6"/>
    </w:rPr>
  </w:style>
  <w:style w:type="character" w:customStyle="1" w:styleId="Omtale2">
    <w:name w:val="Omtale2"/>
    <w:basedOn w:val="Standardskriftforavsnitt"/>
    <w:uiPriority w:val="99"/>
    <w:unhideWhenUsed/>
    <w:rsid w:val="00DB6275"/>
    <w:rPr>
      <w:color w:val="2B579A"/>
      <w:shd w:val="clear" w:color="auto" w:fill="E6E6E6"/>
    </w:rPr>
  </w:style>
  <w:style w:type="character" w:customStyle="1" w:styleId="Ulstomtale6">
    <w:name w:val="Uløst omtale6"/>
    <w:basedOn w:val="Standardskriftforavsnitt"/>
    <w:uiPriority w:val="99"/>
    <w:unhideWhenUsed/>
    <w:rsid w:val="00DB6275"/>
    <w:rPr>
      <w:color w:val="605E5C"/>
      <w:shd w:val="clear" w:color="auto" w:fill="E1DFDD"/>
    </w:rPr>
  </w:style>
  <w:style w:type="character" w:customStyle="1" w:styleId="Omtale100">
    <w:name w:val="Omtale100"/>
    <w:basedOn w:val="Standardskriftforavsnitt"/>
    <w:uiPriority w:val="99"/>
    <w:semiHidden/>
    <w:unhideWhenUsed/>
    <w:rsid w:val="00DB6275"/>
    <w:rPr>
      <w:color w:val="2B579A"/>
      <w:shd w:val="clear" w:color="auto" w:fill="E6E6E6"/>
    </w:rPr>
  </w:style>
  <w:style w:type="character" w:customStyle="1" w:styleId="Omtale1000">
    <w:name w:val="Omtale1000"/>
    <w:basedOn w:val="Standardskriftforavsnitt"/>
    <w:uiPriority w:val="99"/>
    <w:semiHidden/>
    <w:unhideWhenUsed/>
    <w:rsid w:val="00DB6275"/>
    <w:rPr>
      <w:color w:val="2B579A"/>
      <w:shd w:val="clear" w:color="auto" w:fill="E6E6E6"/>
    </w:rPr>
  </w:style>
  <w:style w:type="character" w:customStyle="1" w:styleId="Omtale10000">
    <w:name w:val="Omtale10000"/>
    <w:basedOn w:val="Standardskriftforavsnitt"/>
    <w:uiPriority w:val="99"/>
    <w:semiHidden/>
    <w:unhideWhenUsed/>
    <w:rsid w:val="00DB6275"/>
    <w:rPr>
      <w:color w:val="2B579A"/>
      <w:shd w:val="clear" w:color="auto" w:fill="E6E6E6"/>
    </w:rPr>
  </w:style>
  <w:style w:type="character" w:customStyle="1" w:styleId="Omtale100000">
    <w:name w:val="Omtale100000"/>
    <w:basedOn w:val="Standardskriftforavsnitt"/>
    <w:uiPriority w:val="99"/>
    <w:semiHidden/>
    <w:unhideWhenUsed/>
    <w:rsid w:val="00DB6275"/>
    <w:rPr>
      <w:color w:val="2B579A"/>
      <w:shd w:val="clear" w:color="auto" w:fill="E6E6E6"/>
    </w:rPr>
  </w:style>
  <w:style w:type="character" w:customStyle="1" w:styleId="Omtale1000000">
    <w:name w:val="Omtale1000000"/>
    <w:basedOn w:val="Standardskriftforavsnitt"/>
    <w:uiPriority w:val="99"/>
    <w:semiHidden/>
    <w:unhideWhenUsed/>
    <w:rsid w:val="00DB6275"/>
    <w:rPr>
      <w:color w:val="2B579A"/>
      <w:shd w:val="clear" w:color="auto" w:fill="E6E6E6"/>
    </w:rPr>
  </w:style>
  <w:style w:type="character" w:customStyle="1" w:styleId="Omtale10000000">
    <w:name w:val="Omtale10000000"/>
    <w:basedOn w:val="Standardskriftforavsnitt"/>
    <w:uiPriority w:val="99"/>
    <w:semiHidden/>
    <w:unhideWhenUsed/>
    <w:rsid w:val="00DB6275"/>
    <w:rPr>
      <w:color w:val="2B579A"/>
      <w:shd w:val="clear" w:color="auto" w:fill="E6E6E6"/>
    </w:rPr>
  </w:style>
  <w:style w:type="character" w:customStyle="1" w:styleId="Omtale100000000">
    <w:name w:val="Omtale100000000"/>
    <w:basedOn w:val="Standardskriftforavsnitt"/>
    <w:uiPriority w:val="99"/>
    <w:semiHidden/>
    <w:unhideWhenUsed/>
    <w:rsid w:val="00DB6275"/>
    <w:rPr>
      <w:color w:val="2B579A"/>
      <w:shd w:val="clear" w:color="auto" w:fill="E6E6E6"/>
    </w:rPr>
  </w:style>
  <w:style w:type="character" w:customStyle="1" w:styleId="Omtale1000000000">
    <w:name w:val="Omtale1000000000"/>
    <w:basedOn w:val="Standardskriftforavsnitt"/>
    <w:uiPriority w:val="99"/>
    <w:semiHidden/>
    <w:unhideWhenUsed/>
    <w:rsid w:val="00DB6275"/>
    <w:rPr>
      <w:color w:val="2B579A"/>
      <w:shd w:val="clear" w:color="auto" w:fill="E6E6E6"/>
    </w:rPr>
  </w:style>
  <w:style w:type="character" w:customStyle="1" w:styleId="Omtale10000000000">
    <w:name w:val="Omtale10000000000"/>
    <w:basedOn w:val="Standardskriftforavsnitt"/>
    <w:uiPriority w:val="99"/>
    <w:semiHidden/>
    <w:unhideWhenUsed/>
    <w:rsid w:val="00DB6275"/>
    <w:rPr>
      <w:color w:val="2B579A"/>
      <w:shd w:val="clear" w:color="auto" w:fill="E6E6E6"/>
    </w:rPr>
  </w:style>
  <w:style w:type="paragraph" w:styleId="NormalWeb">
    <w:name w:val="Normal (Web)"/>
    <w:basedOn w:val="Normal"/>
    <w:uiPriority w:val="99"/>
    <w:unhideWhenUsed/>
    <w:rsid w:val="00DB6275"/>
    <w:pPr>
      <w:spacing w:before="100" w:beforeAutospacing="1" w:after="100" w:afterAutospacing="1"/>
    </w:pPr>
    <w:rPr>
      <w:rFonts w:ascii="Calibri" w:hAnsi="Calibri" w:cs="Calibri"/>
      <w:lang w:eastAsia="nb-NO"/>
    </w:rPr>
  </w:style>
  <w:style w:type="paragraph" w:customStyle="1" w:styleId="Lenke">
    <w:name w:val="Lenke"/>
    <w:basedOn w:val="Brdtekst"/>
    <w:link w:val="LenkeTegn"/>
    <w:qFormat/>
    <w:rsid w:val="00DB6275"/>
    <w:rPr>
      <w:color w:val="0070C0"/>
      <w:u w:val="single"/>
    </w:rPr>
  </w:style>
  <w:style w:type="paragraph" w:styleId="Sluttnotetekst">
    <w:name w:val="endnote text"/>
    <w:basedOn w:val="Normal"/>
    <w:link w:val="SluttnotetekstTegn"/>
    <w:uiPriority w:val="99"/>
    <w:semiHidden/>
    <w:unhideWhenUsed/>
    <w:rsid w:val="00DB6275"/>
    <w:rPr>
      <w:sz w:val="20"/>
      <w:szCs w:val="20"/>
    </w:rPr>
  </w:style>
  <w:style w:type="character" w:customStyle="1" w:styleId="SluttnotetekstTegn">
    <w:name w:val="Sluttnotetekst Tegn"/>
    <w:basedOn w:val="Standardskriftforavsnitt"/>
    <w:link w:val="Sluttnotetekst"/>
    <w:uiPriority w:val="99"/>
    <w:semiHidden/>
    <w:rsid w:val="00DB6275"/>
    <w:rPr>
      <w:sz w:val="20"/>
      <w:szCs w:val="20"/>
    </w:rPr>
  </w:style>
  <w:style w:type="character" w:customStyle="1" w:styleId="LenkeTegn">
    <w:name w:val="Lenke Tegn"/>
    <w:basedOn w:val="BrdtekstTegn"/>
    <w:link w:val="Lenke"/>
    <w:rsid w:val="00DB6275"/>
    <w:rPr>
      <w:color w:val="0070C0"/>
      <w:u w:val="single"/>
    </w:rPr>
  </w:style>
  <w:style w:type="character" w:styleId="Sluttnotereferanse">
    <w:name w:val="endnote reference"/>
    <w:basedOn w:val="Standardskriftforavsnitt"/>
    <w:uiPriority w:val="99"/>
    <w:semiHidden/>
    <w:unhideWhenUsed/>
    <w:rsid w:val="00DB6275"/>
    <w:rPr>
      <w:vertAlign w:val="superscript"/>
    </w:rPr>
  </w:style>
  <w:style w:type="character" w:customStyle="1" w:styleId="IngenmellomromTegn">
    <w:name w:val="Ingen mellomrom Tegn"/>
    <w:basedOn w:val="Standardskriftforavsnitt"/>
    <w:link w:val="Ingenmellomrom"/>
    <w:uiPriority w:val="1"/>
    <w:rsid w:val="00DB6275"/>
  </w:style>
  <w:style w:type="character" w:styleId="Ulstomtale">
    <w:name w:val="Unresolved Mention"/>
    <w:basedOn w:val="Standardskriftforavsnitt"/>
    <w:uiPriority w:val="99"/>
    <w:rsid w:val="00D1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2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odir.no/en/regulations/acts/act-29-november-1996-no2.-72-relating-to-petroleum-activities/" TargetMode="External"/><Relationship Id="rId26" Type="http://schemas.openxmlformats.org/officeDocument/2006/relationships/hyperlink" Target="https://www.sodir.no/globalassets/1-sodir/regelverk/tematiske-veiledninger/eng/status-before-startup.pdf" TargetMode="External"/><Relationship Id="rId3" Type="http://schemas.openxmlformats.org/officeDocument/2006/relationships/customXml" Target="../customXml/item3.xml"/><Relationship Id="rId21" Type="http://schemas.openxmlformats.org/officeDocument/2006/relationships/hyperlink" Target="https://www.sodir.no/globalassets/1-sodir/regelverk/veiledninger/guidelines-annual-status-report-for-fields-in-productio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odir.no/en/regulations/acts/act-29-november-1996-no2.-72-relating-to-petroleum-activities/" TargetMode="External"/><Relationship Id="rId25" Type="http://schemas.openxmlformats.org/officeDocument/2006/relationships/hyperlink" Target="https://www.sodir.no/en/regulations/regulations/resource-management-in-the-petroleum-activiti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sodir.no/en/regulations/regulations/resource-management-in-the-petroleum-activities/" TargetMode="External"/><Relationship Id="rId29" Type="http://schemas.openxmlformats.org/officeDocument/2006/relationships/hyperlink" Target="https://www.sodir.no/en/regulations/reporting_and_applications/revised-national-budg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odir.no/globalassets/1-sodir/regelverk/forskrifter/en/consent-to-start-up.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odir.no/en/regulations/regulations/petroleum-activities/" TargetMode="External"/><Relationship Id="rId28" Type="http://schemas.openxmlformats.org/officeDocument/2006/relationships/hyperlink" Target="https://www.sodir.no/en/regulations/regulations/petroleum-activities/" TargetMode="External"/><Relationship Id="rId10" Type="http://schemas.openxmlformats.org/officeDocument/2006/relationships/endnotes" Target="endnotes.xml"/><Relationship Id="rId19" Type="http://schemas.openxmlformats.org/officeDocument/2006/relationships/hyperlink" Target="https://www.sodir.no/en/regulations/regulations/petroleum-activities/" TargetMode="External"/><Relationship Id="rId31" Type="http://schemas.openxmlformats.org/officeDocument/2006/relationships/hyperlink" Target="https://www.sodir.no/en/regulation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sodir.no/en/regulations/regulations/resource-management-in-the-petroleum-activities/" TargetMode="External"/><Relationship Id="rId30" Type="http://schemas.openxmlformats.org/officeDocument/2006/relationships/hyperlink" Target="https://www.sodir.no/globalassets/1-sodir/regelverk/veiledninger/soknad-om-produksjonstillatelse-vedlegg1.xls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kkeldirektoratet.sharepoint.com/sites/OrganizationAssetLibrary/OfficeMaler/Veileder%20(engelsk).dotx" TargetMode="External"/></Relationships>
</file>

<file path=word/theme/theme1.xml><?xml version="1.0" encoding="utf-8"?>
<a:theme xmlns:a="http://schemas.openxmlformats.org/drawingml/2006/main" name="Sammensatt">
  <a:themeElements>
    <a:clrScheme name="SODIR standard">
      <a:dk1>
        <a:srgbClr val="000000"/>
      </a:dk1>
      <a:lt1>
        <a:srgbClr val="FFFFFF"/>
      </a:lt1>
      <a:dk2>
        <a:srgbClr val="1D1D1B"/>
      </a:dk2>
      <a:lt2>
        <a:srgbClr val="FBFBFD"/>
      </a:lt2>
      <a:accent1>
        <a:srgbClr val="E30613"/>
      </a:accent1>
      <a:accent2>
        <a:srgbClr val="004F9F"/>
      </a:accent2>
      <a:accent3>
        <a:srgbClr val="009640"/>
      </a:accent3>
      <a:accent4>
        <a:srgbClr val="DE007E"/>
      </a:accent4>
      <a:accent5>
        <a:srgbClr val="0090D7"/>
      </a:accent5>
      <a:accent6>
        <a:srgbClr val="FFFF00"/>
      </a:accent6>
      <a:hlink>
        <a:srgbClr val="0090D7"/>
      </a:hlink>
      <a:folHlink>
        <a:srgbClr val="DE007E"/>
      </a:folHlink>
    </a:clrScheme>
    <a:fontScheme name="SODIR Standard">
      <a:majorFont>
        <a:latin typeface="Aptos"/>
        <a:ea typeface=""/>
        <a:cs typeface=""/>
      </a:majorFont>
      <a:minorFont>
        <a:latin typeface="Aptos"/>
        <a:ea typeface=""/>
        <a:cs typeface=""/>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b12046-7c0b-4d47-838c-2c8309d20c72">
      <Terms xmlns="http://schemas.microsoft.com/office/infopath/2007/PartnerControls"/>
    </lcf76f155ced4ddcb4097134ff3c332f>
    <TaxCatchAll xmlns="3acac880-926d-4304-a488-1398ed0f2b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16" ma:contentTypeDescription="Opprett et nytt dokument." ma:contentTypeScope="" ma:versionID="35b4b7c5891c1d14c338aadb79376503">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b9ccfec44f05a33ad03ca7589ea028c8"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59dfb86-1788-49ba-b011-bd706ba4631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1ed4b8d-7554-4ada-915a-07a90f4cd4dc}" ma:internalName="TaxCatchAll" ma:showField="CatchAllData" ma:web="3acac880-926d-4304-a488-1398ed0f2b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DE39E-4512-4318-8B27-48ABE4FFFD30}">
  <ds:schemaRefs>
    <ds:schemaRef ds:uri="http://schemas.microsoft.com/sharepoint/v3/contenttype/forms"/>
  </ds:schemaRefs>
</ds:datastoreItem>
</file>

<file path=customXml/itemProps2.xml><?xml version="1.0" encoding="utf-8"?>
<ds:datastoreItem xmlns:ds="http://schemas.openxmlformats.org/officeDocument/2006/customXml" ds:itemID="{95595909-2AA3-4AC6-A8F2-4EDB0EEF37A5}">
  <ds:schemaRefs>
    <ds:schemaRef ds:uri="a6b12046-7c0b-4d47-838c-2c8309d20c72"/>
    <ds:schemaRef ds:uri="http://purl.org/dc/elements/1.1/"/>
    <ds:schemaRef ds:uri="http://schemas.microsoft.com/office/2006/documentManagement/types"/>
    <ds:schemaRef ds:uri="3acac880-926d-4304-a488-1398ed0f2b11"/>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7A2ABCA-BC10-4FDD-B8AC-AB31B5942E1E}">
  <ds:schemaRefs>
    <ds:schemaRef ds:uri="http://schemas.openxmlformats.org/officeDocument/2006/bibliography"/>
  </ds:schemaRefs>
</ds:datastoreItem>
</file>

<file path=customXml/itemProps4.xml><?xml version="1.0" encoding="utf-8"?>
<ds:datastoreItem xmlns:ds="http://schemas.openxmlformats.org/officeDocument/2006/customXml" ds:itemID="{736D4087-9B73-4FA3-914C-908F9EA17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Veileder%20(engelsk)</Template>
  <TotalTime>60</TotalTime>
  <Pages>13</Pages>
  <Words>3923</Words>
  <Characters>20795</Characters>
  <Application>Microsoft Office Word</Application>
  <DocSecurity>0</DocSecurity>
  <Lines>173</Lines>
  <Paragraphs>49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Guideline (engelsk)</vt:lpstr>
      <vt:lpstr>Veileder (engelsk)</vt:lpstr>
    </vt:vector>
  </TitlesOfParts>
  <Company>Oljedirektoratet</Company>
  <LinksUpToDate>false</LinksUpToDate>
  <CharactersWithSpaces>24669</CharactersWithSpaces>
  <SharedDoc>false</SharedDoc>
  <HLinks>
    <vt:vector size="222" baseType="variant">
      <vt:variant>
        <vt:i4>8126588</vt:i4>
      </vt:variant>
      <vt:variant>
        <vt:i4>174</vt:i4>
      </vt:variant>
      <vt:variant>
        <vt:i4>0</vt:i4>
      </vt:variant>
      <vt:variant>
        <vt:i4>5</vt:i4>
      </vt:variant>
      <vt:variant>
        <vt:lpwstr>https://www.sodir.no/en/regulations/guidelines/</vt:lpwstr>
      </vt:variant>
      <vt:variant>
        <vt:lpwstr/>
      </vt:variant>
      <vt:variant>
        <vt:i4>4390937</vt:i4>
      </vt:variant>
      <vt:variant>
        <vt:i4>171</vt:i4>
      </vt:variant>
      <vt:variant>
        <vt:i4>0</vt:i4>
      </vt:variant>
      <vt:variant>
        <vt:i4>5</vt:i4>
      </vt:variant>
      <vt:variant>
        <vt:lpwstr>https://www.sodir.no/globalassets/1-sodir/regelverk/rapportering/nasjonalbudsjett/rnb2024/general-guidelines-rnb2024.pdf</vt:lpwstr>
      </vt:variant>
      <vt:variant>
        <vt:lpwstr/>
      </vt:variant>
      <vt:variant>
        <vt:i4>1245199</vt:i4>
      </vt:variant>
      <vt:variant>
        <vt:i4>168</vt:i4>
      </vt:variant>
      <vt:variant>
        <vt:i4>0</vt:i4>
      </vt:variant>
      <vt:variant>
        <vt:i4>5</vt:i4>
      </vt:variant>
      <vt:variant>
        <vt:lpwstr>https://www.sodir.no/globalassets/1-sodir/regelverk/veiledninger/guidelines-annual-status-report-for-fields-in-production.pdf</vt:lpwstr>
      </vt:variant>
      <vt:variant>
        <vt:lpwstr/>
      </vt:variant>
      <vt:variant>
        <vt:i4>7274682</vt:i4>
      </vt:variant>
      <vt:variant>
        <vt:i4>165</vt:i4>
      </vt:variant>
      <vt:variant>
        <vt:i4>0</vt:i4>
      </vt:variant>
      <vt:variant>
        <vt:i4>5</vt:i4>
      </vt:variant>
      <vt:variant>
        <vt:lpwstr>https://lovdata.no/forskrift/1997-06-27-653/§47</vt:lpwstr>
      </vt:variant>
      <vt:variant>
        <vt:lpwstr/>
      </vt:variant>
      <vt:variant>
        <vt:i4>1376350</vt:i4>
      </vt:variant>
      <vt:variant>
        <vt:i4>162</vt:i4>
      </vt:variant>
      <vt:variant>
        <vt:i4>0</vt:i4>
      </vt:variant>
      <vt:variant>
        <vt:i4>5</vt:i4>
      </vt:variant>
      <vt:variant>
        <vt:lpwstr>https://lovdata.no/SF/forskrift/2017-12-13-2004/%C2%A735</vt:lpwstr>
      </vt:variant>
      <vt:variant>
        <vt:lpwstr/>
      </vt:variant>
      <vt:variant>
        <vt:i4>1900635</vt:i4>
      </vt:variant>
      <vt:variant>
        <vt:i4>159</vt:i4>
      </vt:variant>
      <vt:variant>
        <vt:i4>0</vt:i4>
      </vt:variant>
      <vt:variant>
        <vt:i4>5</vt:i4>
      </vt:variant>
      <vt:variant>
        <vt:lpwstr>https://www.sodir.no/globalassets/1-sodir/regelverk/tematiske-veiledninger/eng/status-before-startup.pdf</vt:lpwstr>
      </vt:variant>
      <vt:variant>
        <vt:lpwstr/>
      </vt:variant>
      <vt:variant>
        <vt:i4>1179742</vt:i4>
      </vt:variant>
      <vt:variant>
        <vt:i4>156</vt:i4>
      </vt:variant>
      <vt:variant>
        <vt:i4>0</vt:i4>
      </vt:variant>
      <vt:variant>
        <vt:i4>5</vt:i4>
      </vt:variant>
      <vt:variant>
        <vt:lpwstr>https://lovdata.no/SF/forskrift/2017-12-13-2004/%C2%A732</vt:lpwstr>
      </vt:variant>
      <vt:variant>
        <vt:lpwstr/>
      </vt:variant>
      <vt:variant>
        <vt:i4>2359411</vt:i4>
      </vt:variant>
      <vt:variant>
        <vt:i4>153</vt:i4>
      </vt:variant>
      <vt:variant>
        <vt:i4>0</vt:i4>
      </vt:variant>
      <vt:variant>
        <vt:i4>5</vt:i4>
      </vt:variant>
      <vt:variant>
        <vt:lpwstr>https://www.sodir.no/globalassets/1-sodir/regelverk/forskrifter/en/consent-to-start-up.pdf</vt:lpwstr>
      </vt:variant>
      <vt:variant>
        <vt:lpwstr/>
      </vt:variant>
      <vt:variant>
        <vt:i4>7995482</vt:i4>
      </vt:variant>
      <vt:variant>
        <vt:i4>150</vt:i4>
      </vt:variant>
      <vt:variant>
        <vt:i4>0</vt:i4>
      </vt:variant>
      <vt:variant>
        <vt:i4>5</vt:i4>
      </vt:variant>
      <vt:variant>
        <vt:lpwstr>https://lovdata.no/dokument/SF/forskrift/1997-06-27-653/KAPITTEL_5</vt:lpwstr>
      </vt:variant>
      <vt:variant>
        <vt:lpwstr>%C2%A730a</vt:lpwstr>
      </vt:variant>
      <vt:variant>
        <vt:i4>655379</vt:i4>
      </vt:variant>
      <vt:variant>
        <vt:i4>147</vt:i4>
      </vt:variant>
      <vt:variant>
        <vt:i4>0</vt:i4>
      </vt:variant>
      <vt:variant>
        <vt:i4>5</vt:i4>
      </vt:variant>
      <vt:variant>
        <vt:lpwstr>https://www.npd.no/en/regulations/guidelines/</vt:lpwstr>
      </vt:variant>
      <vt:variant>
        <vt:lpwstr/>
      </vt:variant>
      <vt:variant>
        <vt:i4>1245199</vt:i4>
      </vt:variant>
      <vt:variant>
        <vt:i4>144</vt:i4>
      </vt:variant>
      <vt:variant>
        <vt:i4>0</vt:i4>
      </vt:variant>
      <vt:variant>
        <vt:i4>5</vt:i4>
      </vt:variant>
      <vt:variant>
        <vt:lpwstr>https://www.sodir.no/globalassets/1-sodir/regelverk/veiledninger/guidelines-annual-status-report-for-fields-in-production.pdf</vt:lpwstr>
      </vt:variant>
      <vt:variant>
        <vt:lpwstr/>
      </vt:variant>
      <vt:variant>
        <vt:i4>1900635</vt:i4>
      </vt:variant>
      <vt:variant>
        <vt:i4>141</vt:i4>
      </vt:variant>
      <vt:variant>
        <vt:i4>0</vt:i4>
      </vt:variant>
      <vt:variant>
        <vt:i4>5</vt:i4>
      </vt:variant>
      <vt:variant>
        <vt:lpwstr>https://www.sodir.no/globalassets/1-sodir/regelverk/tematiske-veiledninger/eng/status-before-startup.pdf</vt:lpwstr>
      </vt:variant>
      <vt:variant>
        <vt:lpwstr/>
      </vt:variant>
      <vt:variant>
        <vt:i4>1703995</vt:i4>
      </vt:variant>
      <vt:variant>
        <vt:i4>138</vt:i4>
      </vt:variant>
      <vt:variant>
        <vt:i4>0</vt:i4>
      </vt:variant>
      <vt:variant>
        <vt:i4>5</vt:i4>
      </vt:variant>
      <vt:variant>
        <vt:lpwstr>https://lovdata.no/dokument/SF/forskrift/2017-12-13-2004/KAPITTEL_4</vt:lpwstr>
      </vt:variant>
      <vt:variant>
        <vt:lpwstr>%C2%A732</vt:lpwstr>
      </vt:variant>
      <vt:variant>
        <vt:i4>1966154</vt:i4>
      </vt:variant>
      <vt:variant>
        <vt:i4>135</vt:i4>
      </vt:variant>
      <vt:variant>
        <vt:i4>0</vt:i4>
      </vt:variant>
      <vt:variant>
        <vt:i4>5</vt:i4>
      </vt:variant>
      <vt:variant>
        <vt:lpwstr>https://lovdata.no/dokument/SF/forskrift/1997-06-27-653/KAPITTEL_5</vt:lpwstr>
      </vt:variant>
      <vt:variant>
        <vt:lpwstr>KAPITTEL_5</vt:lpwstr>
      </vt:variant>
      <vt:variant>
        <vt:i4>6750297</vt:i4>
      </vt:variant>
      <vt:variant>
        <vt:i4>132</vt:i4>
      </vt:variant>
      <vt:variant>
        <vt:i4>0</vt:i4>
      </vt:variant>
      <vt:variant>
        <vt:i4>5</vt:i4>
      </vt:variant>
      <vt:variant>
        <vt:lpwstr>https://lovdata.no/dokument/NL/lov/1996-11-29-72</vt:lpwstr>
      </vt:variant>
      <vt:variant>
        <vt:lpwstr>KAPITTEL_4</vt:lpwstr>
      </vt:variant>
      <vt:variant>
        <vt:i4>3276902</vt:i4>
      </vt:variant>
      <vt:variant>
        <vt:i4>129</vt:i4>
      </vt:variant>
      <vt:variant>
        <vt:i4>0</vt:i4>
      </vt:variant>
      <vt:variant>
        <vt:i4>5</vt:i4>
      </vt:variant>
      <vt:variant>
        <vt:lpwstr>https://lovdata.no/dokument/NL/lov/1996-11-29-72/KAPITTEL_4</vt:lpwstr>
      </vt:variant>
      <vt:variant>
        <vt:lpwstr>KAPITTEL_4</vt:lpwstr>
      </vt:variant>
      <vt:variant>
        <vt:i4>1048629</vt:i4>
      </vt:variant>
      <vt:variant>
        <vt:i4>122</vt:i4>
      </vt:variant>
      <vt:variant>
        <vt:i4>0</vt:i4>
      </vt:variant>
      <vt:variant>
        <vt:i4>5</vt:i4>
      </vt:variant>
      <vt:variant>
        <vt:lpwstr/>
      </vt:variant>
      <vt:variant>
        <vt:lpwstr>_Toc170726616</vt:lpwstr>
      </vt:variant>
      <vt:variant>
        <vt:i4>1048629</vt:i4>
      </vt:variant>
      <vt:variant>
        <vt:i4>116</vt:i4>
      </vt:variant>
      <vt:variant>
        <vt:i4>0</vt:i4>
      </vt:variant>
      <vt:variant>
        <vt:i4>5</vt:i4>
      </vt:variant>
      <vt:variant>
        <vt:lpwstr/>
      </vt:variant>
      <vt:variant>
        <vt:lpwstr>_Toc170726615</vt:lpwstr>
      </vt:variant>
      <vt:variant>
        <vt:i4>1048629</vt:i4>
      </vt:variant>
      <vt:variant>
        <vt:i4>110</vt:i4>
      </vt:variant>
      <vt:variant>
        <vt:i4>0</vt:i4>
      </vt:variant>
      <vt:variant>
        <vt:i4>5</vt:i4>
      </vt:variant>
      <vt:variant>
        <vt:lpwstr/>
      </vt:variant>
      <vt:variant>
        <vt:lpwstr>_Toc170726614</vt:lpwstr>
      </vt:variant>
      <vt:variant>
        <vt:i4>1048629</vt:i4>
      </vt:variant>
      <vt:variant>
        <vt:i4>104</vt:i4>
      </vt:variant>
      <vt:variant>
        <vt:i4>0</vt:i4>
      </vt:variant>
      <vt:variant>
        <vt:i4>5</vt:i4>
      </vt:variant>
      <vt:variant>
        <vt:lpwstr/>
      </vt:variant>
      <vt:variant>
        <vt:lpwstr>_Toc170726613</vt:lpwstr>
      </vt:variant>
      <vt:variant>
        <vt:i4>1048629</vt:i4>
      </vt:variant>
      <vt:variant>
        <vt:i4>98</vt:i4>
      </vt:variant>
      <vt:variant>
        <vt:i4>0</vt:i4>
      </vt:variant>
      <vt:variant>
        <vt:i4>5</vt:i4>
      </vt:variant>
      <vt:variant>
        <vt:lpwstr/>
      </vt:variant>
      <vt:variant>
        <vt:lpwstr>_Toc170726612</vt:lpwstr>
      </vt:variant>
      <vt:variant>
        <vt:i4>1048629</vt:i4>
      </vt:variant>
      <vt:variant>
        <vt:i4>92</vt:i4>
      </vt:variant>
      <vt:variant>
        <vt:i4>0</vt:i4>
      </vt:variant>
      <vt:variant>
        <vt:i4>5</vt:i4>
      </vt:variant>
      <vt:variant>
        <vt:lpwstr/>
      </vt:variant>
      <vt:variant>
        <vt:lpwstr>_Toc170726611</vt:lpwstr>
      </vt:variant>
      <vt:variant>
        <vt:i4>1048629</vt:i4>
      </vt:variant>
      <vt:variant>
        <vt:i4>86</vt:i4>
      </vt:variant>
      <vt:variant>
        <vt:i4>0</vt:i4>
      </vt:variant>
      <vt:variant>
        <vt:i4>5</vt:i4>
      </vt:variant>
      <vt:variant>
        <vt:lpwstr/>
      </vt:variant>
      <vt:variant>
        <vt:lpwstr>_Toc170726610</vt:lpwstr>
      </vt:variant>
      <vt:variant>
        <vt:i4>1114165</vt:i4>
      </vt:variant>
      <vt:variant>
        <vt:i4>80</vt:i4>
      </vt:variant>
      <vt:variant>
        <vt:i4>0</vt:i4>
      </vt:variant>
      <vt:variant>
        <vt:i4>5</vt:i4>
      </vt:variant>
      <vt:variant>
        <vt:lpwstr/>
      </vt:variant>
      <vt:variant>
        <vt:lpwstr>_Toc170726609</vt:lpwstr>
      </vt:variant>
      <vt:variant>
        <vt:i4>1114165</vt:i4>
      </vt:variant>
      <vt:variant>
        <vt:i4>74</vt:i4>
      </vt:variant>
      <vt:variant>
        <vt:i4>0</vt:i4>
      </vt:variant>
      <vt:variant>
        <vt:i4>5</vt:i4>
      </vt:variant>
      <vt:variant>
        <vt:lpwstr/>
      </vt:variant>
      <vt:variant>
        <vt:lpwstr>_Toc170726608</vt:lpwstr>
      </vt:variant>
      <vt:variant>
        <vt:i4>1114165</vt:i4>
      </vt:variant>
      <vt:variant>
        <vt:i4>68</vt:i4>
      </vt:variant>
      <vt:variant>
        <vt:i4>0</vt:i4>
      </vt:variant>
      <vt:variant>
        <vt:i4>5</vt:i4>
      </vt:variant>
      <vt:variant>
        <vt:lpwstr/>
      </vt:variant>
      <vt:variant>
        <vt:lpwstr>_Toc170726607</vt:lpwstr>
      </vt:variant>
      <vt:variant>
        <vt:i4>1114165</vt:i4>
      </vt:variant>
      <vt:variant>
        <vt:i4>62</vt:i4>
      </vt:variant>
      <vt:variant>
        <vt:i4>0</vt:i4>
      </vt:variant>
      <vt:variant>
        <vt:i4>5</vt:i4>
      </vt:variant>
      <vt:variant>
        <vt:lpwstr/>
      </vt:variant>
      <vt:variant>
        <vt:lpwstr>_Toc170726606</vt:lpwstr>
      </vt:variant>
      <vt:variant>
        <vt:i4>1114165</vt:i4>
      </vt:variant>
      <vt:variant>
        <vt:i4>56</vt:i4>
      </vt:variant>
      <vt:variant>
        <vt:i4>0</vt:i4>
      </vt:variant>
      <vt:variant>
        <vt:i4>5</vt:i4>
      </vt:variant>
      <vt:variant>
        <vt:lpwstr/>
      </vt:variant>
      <vt:variant>
        <vt:lpwstr>_Toc170726605</vt:lpwstr>
      </vt:variant>
      <vt:variant>
        <vt:i4>1114165</vt:i4>
      </vt:variant>
      <vt:variant>
        <vt:i4>50</vt:i4>
      </vt:variant>
      <vt:variant>
        <vt:i4>0</vt:i4>
      </vt:variant>
      <vt:variant>
        <vt:i4>5</vt:i4>
      </vt:variant>
      <vt:variant>
        <vt:lpwstr/>
      </vt:variant>
      <vt:variant>
        <vt:lpwstr>_Toc170726604</vt:lpwstr>
      </vt:variant>
      <vt:variant>
        <vt:i4>1114165</vt:i4>
      </vt:variant>
      <vt:variant>
        <vt:i4>44</vt:i4>
      </vt:variant>
      <vt:variant>
        <vt:i4>0</vt:i4>
      </vt:variant>
      <vt:variant>
        <vt:i4>5</vt:i4>
      </vt:variant>
      <vt:variant>
        <vt:lpwstr/>
      </vt:variant>
      <vt:variant>
        <vt:lpwstr>_Toc170726603</vt:lpwstr>
      </vt:variant>
      <vt:variant>
        <vt:i4>1114165</vt:i4>
      </vt:variant>
      <vt:variant>
        <vt:i4>38</vt:i4>
      </vt:variant>
      <vt:variant>
        <vt:i4>0</vt:i4>
      </vt:variant>
      <vt:variant>
        <vt:i4>5</vt:i4>
      </vt:variant>
      <vt:variant>
        <vt:lpwstr/>
      </vt:variant>
      <vt:variant>
        <vt:lpwstr>_Toc170726602</vt:lpwstr>
      </vt:variant>
      <vt:variant>
        <vt:i4>1114165</vt:i4>
      </vt:variant>
      <vt:variant>
        <vt:i4>32</vt:i4>
      </vt:variant>
      <vt:variant>
        <vt:i4>0</vt:i4>
      </vt:variant>
      <vt:variant>
        <vt:i4>5</vt:i4>
      </vt:variant>
      <vt:variant>
        <vt:lpwstr/>
      </vt:variant>
      <vt:variant>
        <vt:lpwstr>_Toc170726600</vt:lpwstr>
      </vt:variant>
      <vt:variant>
        <vt:i4>1572918</vt:i4>
      </vt:variant>
      <vt:variant>
        <vt:i4>26</vt:i4>
      </vt:variant>
      <vt:variant>
        <vt:i4>0</vt:i4>
      </vt:variant>
      <vt:variant>
        <vt:i4>5</vt:i4>
      </vt:variant>
      <vt:variant>
        <vt:lpwstr/>
      </vt:variant>
      <vt:variant>
        <vt:lpwstr>_Toc170726599</vt:lpwstr>
      </vt:variant>
      <vt:variant>
        <vt:i4>1572918</vt:i4>
      </vt:variant>
      <vt:variant>
        <vt:i4>20</vt:i4>
      </vt:variant>
      <vt:variant>
        <vt:i4>0</vt:i4>
      </vt:variant>
      <vt:variant>
        <vt:i4>5</vt:i4>
      </vt:variant>
      <vt:variant>
        <vt:lpwstr/>
      </vt:variant>
      <vt:variant>
        <vt:lpwstr>_Toc170726598</vt:lpwstr>
      </vt:variant>
      <vt:variant>
        <vt:i4>1572918</vt:i4>
      </vt:variant>
      <vt:variant>
        <vt:i4>14</vt:i4>
      </vt:variant>
      <vt:variant>
        <vt:i4>0</vt:i4>
      </vt:variant>
      <vt:variant>
        <vt:i4>5</vt:i4>
      </vt:variant>
      <vt:variant>
        <vt:lpwstr/>
      </vt:variant>
      <vt:variant>
        <vt:lpwstr>_Toc170726597</vt:lpwstr>
      </vt:variant>
      <vt:variant>
        <vt:i4>1572918</vt:i4>
      </vt:variant>
      <vt:variant>
        <vt:i4>8</vt:i4>
      </vt:variant>
      <vt:variant>
        <vt:i4>0</vt:i4>
      </vt:variant>
      <vt:variant>
        <vt:i4>5</vt:i4>
      </vt:variant>
      <vt:variant>
        <vt:lpwstr/>
      </vt:variant>
      <vt:variant>
        <vt:lpwstr>_Toc170726596</vt:lpwstr>
      </vt:variant>
      <vt:variant>
        <vt:i4>1572918</vt:i4>
      </vt:variant>
      <vt:variant>
        <vt:i4>2</vt:i4>
      </vt:variant>
      <vt:variant>
        <vt:i4>0</vt:i4>
      </vt:variant>
      <vt:variant>
        <vt:i4>5</vt:i4>
      </vt:variant>
      <vt:variant>
        <vt:lpwstr/>
      </vt:variant>
      <vt:variant>
        <vt:lpwstr>_Toc170726595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(engelsk)</dc:title>
  <dc:subject/>
  <dc:creator>Takamoli Arezo</dc:creator>
  <cp:keywords/>
  <cp:lastModifiedBy>Reinhardt Lisbeth</cp:lastModifiedBy>
  <cp:revision>13</cp:revision>
  <dcterms:created xsi:type="dcterms:W3CDTF">2025-06-02T12:32:00Z</dcterms:created>
  <dcterms:modified xsi:type="dcterms:W3CDTF">2025-06-10T11:33:00Z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MediaServiceImageTags">
    <vt:lpwstr/>
  </property>
</Properties>
</file>